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DF1233" w14:textId="77777777" w:rsidR="00EA6396" w:rsidRPr="00A52A3F" w:rsidRDefault="00D673E7" w:rsidP="00A52A3F">
      <w:pPr>
        <w:divId w:val="1722637042"/>
        <w:rPr>
          <w:rFonts w:eastAsia="Times New Roman"/>
          <w:b/>
          <w:bCs/>
          <w:sz w:val="40"/>
          <w:szCs w:val="40"/>
        </w:rPr>
      </w:pPr>
      <w:bookmarkStart w:id="0" w:name="maincontent"/>
      <w:bookmarkEnd w:id="0"/>
      <w:r w:rsidRPr="00A52A3F">
        <w:rPr>
          <w:rFonts w:eastAsia="Times New Roman"/>
          <w:b/>
          <w:bCs/>
          <w:sz w:val="40"/>
          <w:szCs w:val="40"/>
        </w:rPr>
        <w:t>Fred Dolislager</w:t>
      </w:r>
    </w:p>
    <w:p w14:paraId="1C5224A9" w14:textId="1F490821" w:rsidR="00EA6396" w:rsidRDefault="00D673E7" w:rsidP="00A52A3F">
      <w:pPr>
        <w:divId w:val="1722637042"/>
        <w:rPr>
          <w:rStyle w:val="Hyperlink"/>
          <w:rFonts w:ascii="Helvetica" w:hAnsi="Helvetica" w:cs="Helvetica"/>
          <w:sz w:val="22"/>
          <w:szCs w:val="22"/>
        </w:rPr>
      </w:pPr>
      <w:r w:rsidRPr="005E5906">
        <w:t>2103 Everett Rd.</w:t>
      </w:r>
      <w:r w:rsidRPr="005E5906">
        <w:br/>
        <w:t>Knoxville, TN 37932, U.S.A.</w:t>
      </w:r>
      <w:r w:rsidRPr="005E5906">
        <w:br/>
        <w:t>(865) 804-2683 cell</w:t>
      </w:r>
      <w:r w:rsidRPr="005E5906">
        <w:br/>
      </w:r>
      <w:hyperlink r:id="rId7" w:history="1">
        <w:r w:rsidR="00E37F07" w:rsidRPr="005E5906">
          <w:rPr>
            <w:rStyle w:val="Hyperlink"/>
            <w:rFonts w:ascii="Helvetica" w:hAnsi="Helvetica" w:cs="Helvetica"/>
            <w:sz w:val="22"/>
            <w:szCs w:val="22"/>
          </w:rPr>
          <w:t xml:space="preserve">fdolislager@gmail.com </w:t>
        </w:r>
      </w:hyperlink>
    </w:p>
    <w:p w14:paraId="4FC9AEE2" w14:textId="77777777" w:rsidR="00807378" w:rsidRPr="005E5906" w:rsidRDefault="00807378" w:rsidP="00A52A3F">
      <w:pPr>
        <w:divId w:val="1722637042"/>
      </w:pPr>
    </w:p>
    <w:p w14:paraId="276C0ABF" w14:textId="77777777" w:rsidR="00B33F4E" w:rsidRPr="00A52A3F" w:rsidRDefault="00D673E7" w:rsidP="00A52A3F">
      <w:pPr>
        <w:divId w:val="1722637042"/>
        <w:rPr>
          <w:b/>
          <w:bCs/>
        </w:rPr>
      </w:pPr>
      <w:r w:rsidRPr="00A52A3F">
        <w:rPr>
          <w:b/>
          <w:bCs/>
        </w:rPr>
        <w:t>OBJECTIVE:</w:t>
      </w:r>
    </w:p>
    <w:p w14:paraId="16552C68" w14:textId="24B5B186" w:rsidR="00EA6396" w:rsidRDefault="00D673E7" w:rsidP="00C864D9">
      <w:pPr>
        <w:jc w:val="both"/>
        <w:divId w:val="1722637042"/>
      </w:pPr>
      <w:r w:rsidRPr="005E5906">
        <w:t xml:space="preserve">Apply risk management practices to ensure implementation of effective and innovative environmental restoration techniques at hazardous waste sites through the development of </w:t>
      </w:r>
      <w:r w:rsidR="00CE325C">
        <w:t xml:space="preserve">advanced </w:t>
      </w:r>
      <w:r w:rsidRPr="005E5906">
        <w:t>risk assessment models and establishment of national guidance and policy.</w:t>
      </w:r>
    </w:p>
    <w:p w14:paraId="45FAF58B" w14:textId="77777777" w:rsidR="00807378" w:rsidRPr="005E5906" w:rsidRDefault="00807378" w:rsidP="00A52A3F">
      <w:pPr>
        <w:divId w:val="1722637042"/>
      </w:pPr>
    </w:p>
    <w:p w14:paraId="70E236CF" w14:textId="315DA80C" w:rsidR="00B33F4E" w:rsidRPr="00A52A3F" w:rsidRDefault="00D673E7" w:rsidP="00A52A3F">
      <w:pPr>
        <w:divId w:val="1722637042"/>
        <w:rPr>
          <w:b/>
          <w:bCs/>
        </w:rPr>
      </w:pPr>
      <w:r w:rsidRPr="00A52A3F">
        <w:rPr>
          <w:b/>
          <w:bCs/>
        </w:rPr>
        <w:t>EDUCATION:</w:t>
      </w:r>
    </w:p>
    <w:p w14:paraId="5C95506B" w14:textId="207D3B27" w:rsidR="00EA6396" w:rsidRDefault="004456AE" w:rsidP="00A52A3F">
      <w:pPr>
        <w:divId w:val="1722637042"/>
      </w:pPr>
      <w:hyperlink r:id="rId8" w:history="1">
        <w:r w:rsidR="00D673E7" w:rsidRPr="005E5906">
          <w:rPr>
            <w:rStyle w:val="Hyperlink"/>
            <w:rFonts w:ascii="Helvetica" w:hAnsi="Helvetica" w:cs="Helvetica"/>
            <w:sz w:val="22"/>
            <w:szCs w:val="22"/>
          </w:rPr>
          <w:t>Bryan College</w:t>
        </w:r>
      </w:hyperlink>
      <w:r w:rsidR="00D673E7" w:rsidRPr="005E5906">
        <w:t>, Dayton, TN (1985-1988) B.S. Natural Science</w:t>
      </w:r>
      <w:r w:rsidR="00D673E7" w:rsidRPr="005E5906">
        <w:br/>
        <w:t xml:space="preserve">Graduate classes at </w:t>
      </w:r>
      <w:hyperlink r:id="rId9" w:history="1">
        <w:r w:rsidR="00D673E7" w:rsidRPr="005E5906">
          <w:rPr>
            <w:rStyle w:val="Hyperlink"/>
            <w:rFonts w:ascii="Helvetica" w:hAnsi="Helvetica" w:cs="Helvetica"/>
            <w:sz w:val="22"/>
            <w:szCs w:val="22"/>
          </w:rPr>
          <w:t>The University of Tennessee</w:t>
        </w:r>
      </w:hyperlink>
      <w:r w:rsidR="00D673E7" w:rsidRPr="005E5906">
        <w:t>, Knoxville (24 hours)</w:t>
      </w:r>
    </w:p>
    <w:p w14:paraId="7A62E46B" w14:textId="77777777" w:rsidR="00807378" w:rsidRPr="005E5906" w:rsidRDefault="00807378" w:rsidP="00A52A3F">
      <w:pPr>
        <w:divId w:val="1722637042"/>
      </w:pPr>
    </w:p>
    <w:p w14:paraId="5923143B" w14:textId="655790A4" w:rsidR="00585B3D" w:rsidRPr="00A52A3F" w:rsidRDefault="001624CE" w:rsidP="00A52A3F">
      <w:pPr>
        <w:divId w:val="1722637042"/>
        <w:rPr>
          <w:b/>
          <w:bCs/>
        </w:rPr>
      </w:pPr>
      <w:r>
        <w:rPr>
          <w:b/>
          <w:bCs/>
        </w:rPr>
        <w:t xml:space="preserve">KEY </w:t>
      </w:r>
      <w:r w:rsidR="00D673E7" w:rsidRPr="00A52A3F">
        <w:rPr>
          <w:b/>
          <w:bCs/>
        </w:rPr>
        <w:t>PROJECTS</w:t>
      </w:r>
      <w:r w:rsidR="00D8012B">
        <w:rPr>
          <w:b/>
          <w:bCs/>
        </w:rPr>
        <w:t xml:space="preserve"> MANAGED</w:t>
      </w:r>
      <w:r w:rsidR="00D673E7" w:rsidRPr="00A52A3F">
        <w:rPr>
          <w:b/>
          <w:bCs/>
        </w:rPr>
        <w:t>:</w:t>
      </w:r>
    </w:p>
    <w:p w14:paraId="2B72894E" w14:textId="36205528" w:rsidR="00C06C46" w:rsidRPr="00C90E1D" w:rsidRDefault="00D673E7" w:rsidP="00C864D9">
      <w:pPr>
        <w:jc w:val="both"/>
        <w:divId w:val="1722637042"/>
        <w:rPr>
          <w:rFonts w:ascii="Helvetica" w:hAnsi="Helvetica" w:cs="Helvetica"/>
          <w:color w:val="006C93"/>
          <w:sz w:val="22"/>
          <w:szCs w:val="22"/>
          <w:u w:val="single"/>
        </w:rPr>
      </w:pPr>
      <w:r w:rsidRPr="005E5906">
        <w:t>EPA Regional Screening Levels (</w:t>
      </w:r>
      <w:hyperlink r:id="rId10" w:history="1">
        <w:r w:rsidRPr="005E5906">
          <w:rPr>
            <w:rStyle w:val="Hyperlink"/>
            <w:rFonts w:ascii="Helvetica" w:hAnsi="Helvetica" w:cs="Helvetica"/>
            <w:sz w:val="22"/>
            <w:szCs w:val="22"/>
          </w:rPr>
          <w:t>RSL</w:t>
        </w:r>
      </w:hyperlink>
      <w:r w:rsidRPr="005E5906">
        <w:t>), EPA Vapor Intrusion Screening Levels (</w:t>
      </w:r>
      <w:hyperlink r:id="rId11" w:history="1">
        <w:r w:rsidRPr="005E5906">
          <w:rPr>
            <w:rStyle w:val="Hyperlink"/>
            <w:rFonts w:ascii="Helvetica" w:hAnsi="Helvetica" w:cs="Helvetica"/>
            <w:sz w:val="22"/>
            <w:szCs w:val="22"/>
          </w:rPr>
          <w:t>VISL</w:t>
        </w:r>
      </w:hyperlink>
      <w:r w:rsidRPr="005E5906">
        <w:t>),</w:t>
      </w:r>
      <w:r w:rsidR="007B1753" w:rsidRPr="005E5906">
        <w:t xml:space="preserve"> EPA Regional Removal Management Levels (</w:t>
      </w:r>
      <w:hyperlink r:id="rId12" w:history="1">
        <w:r w:rsidR="007B1753" w:rsidRPr="005E5906">
          <w:rPr>
            <w:rStyle w:val="Hyperlink"/>
            <w:rFonts w:ascii="Helvetica" w:hAnsi="Helvetica" w:cs="Helvetica"/>
            <w:sz w:val="22"/>
            <w:szCs w:val="22"/>
          </w:rPr>
          <w:t>RML</w:t>
        </w:r>
      </w:hyperlink>
      <w:r w:rsidR="007B1753" w:rsidRPr="005E5906">
        <w:t>)</w:t>
      </w:r>
      <w:r w:rsidR="00060A1F" w:rsidRPr="005E5906">
        <w:t>,</w:t>
      </w:r>
      <w:r w:rsidRPr="005E5906">
        <w:t xml:space="preserve"> EPA radionuclide Preliminary Remediation Goals (</w:t>
      </w:r>
      <w:hyperlink r:id="rId13" w:history="1">
        <w:r w:rsidRPr="005E5906">
          <w:rPr>
            <w:rStyle w:val="Hyperlink"/>
            <w:rFonts w:ascii="Helvetica" w:hAnsi="Helvetica" w:cs="Helvetica"/>
            <w:sz w:val="22"/>
            <w:szCs w:val="22"/>
          </w:rPr>
          <w:t>PRG</w:t>
        </w:r>
      </w:hyperlink>
      <w:r w:rsidRPr="005E5906">
        <w:t xml:space="preserve">), </w:t>
      </w:r>
      <w:r w:rsidR="0082690E" w:rsidRPr="005E5906">
        <w:t xml:space="preserve">EPA </w:t>
      </w:r>
      <w:r w:rsidR="00682904" w:rsidRPr="005E5906">
        <w:t>Dose Compliance Calculators (</w:t>
      </w:r>
      <w:hyperlink r:id="rId14" w:history="1">
        <w:r w:rsidR="00682904" w:rsidRPr="005E5906">
          <w:rPr>
            <w:rStyle w:val="Hyperlink"/>
            <w:rFonts w:ascii="Helvetica" w:hAnsi="Helvetica" w:cs="Helvetica"/>
            <w:sz w:val="22"/>
            <w:szCs w:val="22"/>
          </w:rPr>
          <w:t>DCC</w:t>
        </w:r>
      </w:hyperlink>
      <w:r w:rsidR="00682904" w:rsidRPr="005E5906">
        <w:t>)</w:t>
      </w:r>
      <w:r w:rsidR="00A72BE3" w:rsidRPr="005E5906">
        <w:t>,</w:t>
      </w:r>
      <w:r w:rsidR="00682904" w:rsidRPr="005E5906">
        <w:t xml:space="preserve"> </w:t>
      </w:r>
      <w:r w:rsidR="0096619F" w:rsidRPr="005E5906">
        <w:t xml:space="preserve">EPA Radon </w:t>
      </w:r>
      <w:r w:rsidR="009E4245" w:rsidRPr="005E5906">
        <w:t>Vapor Intrusion Screening Levels (</w:t>
      </w:r>
      <w:hyperlink r:id="rId15" w:history="1">
        <w:r w:rsidR="009E4245" w:rsidRPr="005E5906">
          <w:rPr>
            <w:rStyle w:val="Hyperlink"/>
            <w:rFonts w:ascii="Helvetica" w:hAnsi="Helvetica" w:cs="Helvetica"/>
            <w:sz w:val="22"/>
            <w:szCs w:val="22"/>
          </w:rPr>
          <w:t>RVISL</w:t>
        </w:r>
      </w:hyperlink>
      <w:r w:rsidR="009E4245" w:rsidRPr="005E5906">
        <w:t xml:space="preserve">), </w:t>
      </w:r>
      <w:r w:rsidR="00F96ADF" w:rsidRPr="005E5906">
        <w:t>Delaware</w:t>
      </w:r>
      <w:r w:rsidR="002D50BB" w:rsidRPr="005E5906">
        <w:t xml:space="preserve"> Risk Calculator (</w:t>
      </w:r>
      <w:hyperlink r:id="rId16" w:history="1">
        <w:r w:rsidR="002D50BB" w:rsidRPr="005E5906">
          <w:rPr>
            <w:rStyle w:val="Hyperlink"/>
            <w:rFonts w:ascii="Helvetica" w:hAnsi="Helvetica" w:cs="Helvetica"/>
            <w:sz w:val="22"/>
            <w:szCs w:val="22"/>
          </w:rPr>
          <w:t>DRAC</w:t>
        </w:r>
      </w:hyperlink>
      <w:r w:rsidR="002D50BB" w:rsidRPr="005E5906">
        <w:t xml:space="preserve">), </w:t>
      </w:r>
      <w:r w:rsidRPr="005E5906">
        <w:t>State of Alaska Cleanup Levels Calculators (</w:t>
      </w:r>
      <w:hyperlink r:id="rId17" w:history="1">
        <w:r w:rsidRPr="005E5906">
          <w:rPr>
            <w:rStyle w:val="Hyperlink"/>
            <w:rFonts w:ascii="Helvetica" w:hAnsi="Helvetica" w:cs="Helvetica"/>
            <w:sz w:val="22"/>
            <w:szCs w:val="22"/>
          </w:rPr>
          <w:t>ADEC</w:t>
        </w:r>
      </w:hyperlink>
      <w:r w:rsidRPr="005E5906">
        <w:t>),</w:t>
      </w:r>
      <w:r w:rsidR="00E24195" w:rsidRPr="005E5906">
        <w:t xml:space="preserve"> </w:t>
      </w:r>
      <w:r w:rsidR="00F74C6D">
        <w:t xml:space="preserve">and </w:t>
      </w:r>
      <w:r w:rsidR="00E24195" w:rsidRPr="005E5906">
        <w:t>The Risk Assessment Information System</w:t>
      </w:r>
      <w:r w:rsidR="00091F02" w:rsidRPr="005E5906">
        <w:t xml:space="preserve"> (</w:t>
      </w:r>
      <w:hyperlink r:id="rId18" w:history="1">
        <w:r w:rsidR="00091F02" w:rsidRPr="005E5906">
          <w:rPr>
            <w:rStyle w:val="Hyperlink"/>
            <w:rFonts w:ascii="Helvetica" w:hAnsi="Helvetica" w:cs="Helvetica"/>
            <w:sz w:val="22"/>
            <w:szCs w:val="22"/>
          </w:rPr>
          <w:t>RAIS</w:t>
        </w:r>
      </w:hyperlink>
      <w:r w:rsidR="00091F02" w:rsidRPr="005E5906">
        <w:rPr>
          <w:rStyle w:val="Hyperlink"/>
          <w:rFonts w:ascii="Helvetica" w:hAnsi="Helvetica" w:cs="Helvetica"/>
          <w:sz w:val="22"/>
          <w:szCs w:val="22"/>
        </w:rPr>
        <w:t>)</w:t>
      </w:r>
      <w:r w:rsidR="00F74C6D">
        <w:rPr>
          <w:rStyle w:val="Hyperlink"/>
          <w:rFonts w:ascii="Helvetica" w:hAnsi="Helvetica" w:cs="Helvetica"/>
          <w:sz w:val="22"/>
          <w:szCs w:val="22"/>
        </w:rPr>
        <w:t>.</w:t>
      </w:r>
    </w:p>
    <w:p w14:paraId="7A6C4DC0" w14:textId="116FA60B" w:rsidR="00807378" w:rsidRDefault="00807378" w:rsidP="00A52A3F">
      <w:pPr>
        <w:divId w:val="1722637042"/>
      </w:pPr>
    </w:p>
    <w:p w14:paraId="0341A48E" w14:textId="33FAA2CE" w:rsidR="00C90E1D" w:rsidRPr="00DB1677" w:rsidRDefault="00C90E1D" w:rsidP="00A52A3F">
      <w:pPr>
        <w:divId w:val="1722637042"/>
        <w:rPr>
          <w:b/>
          <w:bCs/>
        </w:rPr>
      </w:pPr>
      <w:r w:rsidRPr="00DB1677">
        <w:rPr>
          <w:b/>
          <w:bCs/>
        </w:rPr>
        <w:t>KEY MODELS DEVELOPED:</w:t>
      </w:r>
    </w:p>
    <w:p w14:paraId="31447D52" w14:textId="0B0204DD" w:rsidR="00C90E1D" w:rsidRDefault="00EB47BA" w:rsidP="00A52A3F">
      <w:pPr>
        <w:divId w:val="1722637042"/>
      </w:pPr>
      <w:r>
        <w:t>EPA radionuclide</w:t>
      </w:r>
      <w:r w:rsidR="001D58C8">
        <w:t xml:space="preserve"> exposure models: gamma shielding factors</w:t>
      </w:r>
      <w:r w:rsidR="007B389E">
        <w:t xml:space="preserve"> (indoor and outdoor), area correction factors (multiple</w:t>
      </w:r>
      <w:r w:rsidR="00A10601">
        <w:t xml:space="preserve"> source depths), room</w:t>
      </w:r>
      <w:r w:rsidR="00711290">
        <w:t xml:space="preserve"> surface exposure factors (multiple materials, source thicknesses</w:t>
      </w:r>
      <w:r w:rsidR="009B648B">
        <w:t xml:space="preserve">, receptor positions), building surface exposure factors (multiple materials, source thicknesses, receptor positions), </w:t>
      </w:r>
      <w:r w:rsidR="00892D5D">
        <w:t xml:space="preserve">soil </w:t>
      </w:r>
      <w:r w:rsidR="009B648B">
        <w:t>trench exposure</w:t>
      </w:r>
      <w:r w:rsidR="00892D5D">
        <w:t xml:space="preserve"> factors (multiple source thicknesses and receptor positions),</w:t>
      </w:r>
      <w:r w:rsidR="00992118">
        <w:t xml:space="preserve"> CPM conversion</w:t>
      </w:r>
      <w:r w:rsidR="00D352EC">
        <w:t xml:space="preserve"> factors, ecological receptor scaling factors</w:t>
      </w:r>
      <w:r w:rsidR="00576C70">
        <w:t>, indoor radon activity equilibrium</w:t>
      </w:r>
      <w:r w:rsidR="00DB1677">
        <w:t xml:space="preserve"> factors for air exchanges, </w:t>
      </w:r>
      <w:r w:rsidR="00DF141A">
        <w:t xml:space="preserve">biota consumption, and </w:t>
      </w:r>
      <w:r w:rsidR="005A496F">
        <w:t>Bateman equation</w:t>
      </w:r>
      <w:r w:rsidR="006A34BA">
        <w:t xml:space="preserve"> solutions for peak risk. EPA chemical</w:t>
      </w:r>
      <w:r w:rsidR="00C636CD">
        <w:t xml:space="preserve"> exposure models: vinyl chloride early life risk, trichloroethylene</w:t>
      </w:r>
      <w:r w:rsidR="00FD2EA3">
        <w:t xml:space="preserve"> risk solutions for multiple cancers, lead toxicity analysis for</w:t>
      </w:r>
      <w:r w:rsidR="006B4257">
        <w:t xml:space="preserve"> adult workers, </w:t>
      </w:r>
      <w:r w:rsidR="000C33DB">
        <w:t xml:space="preserve">soil </w:t>
      </w:r>
      <w:r w:rsidR="006B4257">
        <w:t>particulate emission factors</w:t>
      </w:r>
      <w:r w:rsidR="000C33DB">
        <w:t xml:space="preserve">, soil volatilization factors, </w:t>
      </w:r>
      <w:r w:rsidR="008402B5">
        <w:t xml:space="preserve">groundwater migration, </w:t>
      </w:r>
      <w:r w:rsidR="00716D52">
        <w:t xml:space="preserve">NAPL </w:t>
      </w:r>
      <w:r w:rsidR="00176109">
        <w:t xml:space="preserve">four-phase distribution, </w:t>
      </w:r>
      <w:r w:rsidR="00D47399">
        <w:t>vapor intrusion</w:t>
      </w:r>
      <w:r w:rsidR="008A036A">
        <w:t>, mutagenic risk analysis,</w:t>
      </w:r>
      <w:r w:rsidR="002D4B11">
        <w:t xml:space="preserve"> and novel ecological benchmark</w:t>
      </w:r>
      <w:r w:rsidR="00A26290">
        <w:t xml:space="preserve"> analysis.</w:t>
      </w:r>
    </w:p>
    <w:p w14:paraId="67814383" w14:textId="77777777" w:rsidR="00A26290" w:rsidRPr="005E5906" w:rsidRDefault="00A26290" w:rsidP="00A52A3F">
      <w:pPr>
        <w:divId w:val="1722637042"/>
      </w:pPr>
    </w:p>
    <w:p w14:paraId="6B46BE28" w14:textId="16D26E6C" w:rsidR="00585B3D" w:rsidRPr="00A52A3F" w:rsidRDefault="00D673E7" w:rsidP="00A52A3F">
      <w:pPr>
        <w:divId w:val="1722637042"/>
        <w:rPr>
          <w:b/>
          <w:bCs/>
        </w:rPr>
      </w:pPr>
      <w:r w:rsidRPr="00A52A3F">
        <w:rPr>
          <w:b/>
          <w:bCs/>
        </w:rPr>
        <w:t>WORK HISTORY:</w:t>
      </w:r>
    </w:p>
    <w:p w14:paraId="60634967" w14:textId="40BCC31F" w:rsidR="00EA6396" w:rsidRDefault="00D673E7" w:rsidP="00C864D9">
      <w:pPr>
        <w:jc w:val="both"/>
        <w:divId w:val="1722637042"/>
      </w:pPr>
      <w:r w:rsidRPr="00096A5E">
        <w:rPr>
          <w:b/>
          <w:bCs/>
        </w:rPr>
        <w:t>(11/98 - Current)</w:t>
      </w:r>
      <w:r w:rsidRPr="005E5906">
        <w:t xml:space="preserve"> </w:t>
      </w:r>
      <w:r w:rsidR="0034398A" w:rsidRPr="005E5906">
        <w:t>University of Tennessee (</w:t>
      </w:r>
      <w:hyperlink r:id="rId19" w:history="1">
        <w:r w:rsidR="0034398A" w:rsidRPr="005E5906">
          <w:rPr>
            <w:rStyle w:val="Hyperlink"/>
            <w:rFonts w:ascii="Helvetica" w:hAnsi="Helvetica" w:cs="Helvetica"/>
            <w:sz w:val="22"/>
            <w:szCs w:val="22"/>
          </w:rPr>
          <w:t>UT</w:t>
        </w:r>
      </w:hyperlink>
      <w:r w:rsidR="0034398A" w:rsidRPr="005E5906">
        <w:t>)</w:t>
      </w:r>
      <w:r w:rsidR="0034398A">
        <w:t xml:space="preserve"> </w:t>
      </w:r>
      <w:r w:rsidR="00C35D8D">
        <w:t xml:space="preserve">Senior </w:t>
      </w:r>
      <w:r w:rsidR="00265406" w:rsidRPr="005E5906">
        <w:t>Human Health and Environmental Risk A</w:t>
      </w:r>
      <w:r w:rsidR="00F27916">
        <w:t>nalyst</w:t>
      </w:r>
      <w:r w:rsidR="00265406" w:rsidRPr="005E5906">
        <w:t xml:space="preserve"> primarily </w:t>
      </w:r>
      <w:r w:rsidR="0098620E">
        <w:t>managing</w:t>
      </w:r>
      <w:r w:rsidR="00265406" w:rsidRPr="005E5906">
        <w:t xml:space="preserve"> the US EPA’s </w:t>
      </w:r>
      <w:hyperlink r:id="rId20" w:history="1">
        <w:r w:rsidR="00C26520" w:rsidRPr="005E5906">
          <w:rPr>
            <w:rStyle w:val="Hyperlink"/>
            <w:rFonts w:ascii="Helvetica" w:hAnsi="Helvetica" w:cs="Helvetica"/>
            <w:sz w:val="22"/>
            <w:szCs w:val="22"/>
          </w:rPr>
          <w:t>Office of Superfund</w:t>
        </w:r>
      </w:hyperlink>
      <w:r w:rsidR="00C26520" w:rsidRPr="005E5906">
        <w:rPr>
          <w:rStyle w:val="Hyperlink"/>
          <w:rFonts w:ascii="Helvetica" w:hAnsi="Helvetica" w:cs="Helvetica"/>
          <w:sz w:val="22"/>
          <w:szCs w:val="22"/>
        </w:rPr>
        <w:t xml:space="preserve"> </w:t>
      </w:r>
      <w:r w:rsidR="00265406" w:rsidRPr="005E5906">
        <w:t>national risk guidance development</w:t>
      </w:r>
      <w:r w:rsidR="006963EE" w:rsidRPr="005E5906">
        <w:t xml:space="preserve"> for</w:t>
      </w:r>
      <w:r w:rsidR="00C26520" w:rsidRPr="005E5906">
        <w:t xml:space="preserve"> chemicals and radionuclides</w:t>
      </w:r>
      <w:r w:rsidR="00265406" w:rsidRPr="005E5906">
        <w:t xml:space="preserve"> </w:t>
      </w:r>
      <w:r w:rsidR="00A0648B">
        <w:t xml:space="preserve">via collaboration with </w:t>
      </w:r>
      <w:r w:rsidR="00265406" w:rsidRPr="005E5906">
        <w:t>Oak Ridge National Laboratory</w:t>
      </w:r>
      <w:r w:rsidR="00264C33">
        <w:t xml:space="preserve"> (ORNL)</w:t>
      </w:r>
      <w:r w:rsidR="00272C8C" w:rsidRPr="005E5906">
        <w:t>.</w:t>
      </w:r>
      <w:r w:rsidRPr="005E5906">
        <w:t xml:space="preserve"> </w:t>
      </w:r>
      <w:r w:rsidR="00272C8C" w:rsidRPr="005E5906">
        <w:t>C</w:t>
      </w:r>
      <w:r w:rsidRPr="005E5906">
        <w:t>ontent manager for the Risk Assessment Information System (</w:t>
      </w:r>
      <w:hyperlink r:id="rId21" w:history="1">
        <w:r w:rsidRPr="005E5906">
          <w:rPr>
            <w:rStyle w:val="Hyperlink"/>
            <w:rFonts w:ascii="Helvetica" w:hAnsi="Helvetica" w:cs="Helvetica"/>
            <w:sz w:val="22"/>
            <w:szCs w:val="22"/>
          </w:rPr>
          <w:t>RAIS</w:t>
        </w:r>
      </w:hyperlink>
      <w:r w:rsidRPr="005E5906">
        <w:t xml:space="preserve">) internet site and Oak Ridge Operations risk assessment consulting for </w:t>
      </w:r>
      <w:hyperlink r:id="rId22" w:history="1">
        <w:r w:rsidRPr="005E5906">
          <w:rPr>
            <w:rStyle w:val="Hyperlink"/>
            <w:rFonts w:ascii="Helvetica" w:hAnsi="Helvetica" w:cs="Helvetica"/>
            <w:sz w:val="22"/>
            <w:szCs w:val="22"/>
          </w:rPr>
          <w:t>UCOR, LLC</w:t>
        </w:r>
      </w:hyperlink>
      <w:r w:rsidRPr="005E5906">
        <w:t xml:space="preserve">. </w:t>
      </w:r>
      <w:r w:rsidR="005F373E">
        <w:t>M</w:t>
      </w:r>
      <w:r w:rsidR="00D15A85">
        <w:t>anagement of</w:t>
      </w:r>
      <w:r w:rsidRPr="005E5906">
        <w:t xml:space="preserve"> Spatial Analysis and Decision Assistance (</w:t>
      </w:r>
      <w:hyperlink r:id="rId23" w:history="1">
        <w:r w:rsidRPr="005E5906">
          <w:rPr>
            <w:rStyle w:val="Hyperlink"/>
            <w:rFonts w:ascii="Helvetica" w:hAnsi="Helvetica" w:cs="Helvetica"/>
            <w:sz w:val="22"/>
            <w:szCs w:val="22"/>
          </w:rPr>
          <w:t>SADA</w:t>
        </w:r>
      </w:hyperlink>
      <w:r w:rsidRPr="005E5906">
        <w:t>) software</w:t>
      </w:r>
      <w:r w:rsidR="000A74BE">
        <w:t xml:space="preserve"> risk assessment code</w:t>
      </w:r>
      <w:r w:rsidR="003E0889">
        <w:t>.</w:t>
      </w:r>
      <w:r w:rsidR="00265406" w:rsidRPr="005E5906">
        <w:t xml:space="preserve"> </w:t>
      </w:r>
      <w:r w:rsidR="003E0889">
        <w:t>S</w:t>
      </w:r>
      <w:r w:rsidRPr="005E5906">
        <w:t xml:space="preserve">upporting U.S. Army </w:t>
      </w:r>
      <w:r w:rsidR="00265406" w:rsidRPr="005E5906">
        <w:t>Public Health Center</w:t>
      </w:r>
      <w:r w:rsidRPr="005E5906">
        <w:t xml:space="preserve"> (</w:t>
      </w:r>
      <w:hyperlink r:id="rId24" w:history="1">
        <w:r w:rsidR="00265406" w:rsidRPr="005E5906">
          <w:rPr>
            <w:rStyle w:val="Hyperlink"/>
            <w:rFonts w:ascii="Helvetica" w:hAnsi="Helvetica" w:cs="Helvetica"/>
            <w:sz w:val="22"/>
            <w:szCs w:val="22"/>
          </w:rPr>
          <w:t>APHC</w:t>
        </w:r>
      </w:hyperlink>
      <w:r w:rsidRPr="005E5906">
        <w:t xml:space="preserve">) </w:t>
      </w:r>
      <w:r w:rsidR="00265406" w:rsidRPr="005E5906">
        <w:t>in developing human health standards for warfighters</w:t>
      </w:r>
      <w:r w:rsidR="00146237">
        <w:t xml:space="preserve"> via collaboration with ORNL</w:t>
      </w:r>
      <w:r w:rsidR="003E0889">
        <w:t>.</w:t>
      </w:r>
      <w:r w:rsidR="00265406" w:rsidRPr="005E5906">
        <w:t xml:space="preserve"> </w:t>
      </w:r>
      <w:r w:rsidR="003E0889">
        <w:t>P</w:t>
      </w:r>
      <w:r w:rsidR="00FA484A">
        <w:t>rogram</w:t>
      </w:r>
      <w:r w:rsidR="00C84D2E" w:rsidRPr="005E5906">
        <w:t xml:space="preserve"> manager for the Alaska Contaminated Sites Program (CSP) </w:t>
      </w:r>
      <w:hyperlink r:id="rId25" w:history="1">
        <w:r w:rsidR="00C84D2E" w:rsidRPr="00D01FBF">
          <w:rPr>
            <w:rStyle w:val="Hyperlink"/>
            <w:rFonts w:ascii="Helvetica" w:hAnsi="Helvetica" w:cs="Helvetica"/>
            <w:sz w:val="22"/>
            <w:szCs w:val="22"/>
          </w:rPr>
          <w:t>cleanup level calculators</w:t>
        </w:r>
      </w:hyperlink>
      <w:r w:rsidR="00B331CA">
        <w:rPr>
          <w:rFonts w:ascii="Helvetica" w:hAnsi="Helvetica" w:cs="Helvetica"/>
          <w:sz w:val="22"/>
          <w:szCs w:val="22"/>
        </w:rPr>
        <w:t xml:space="preserve"> and the</w:t>
      </w:r>
      <w:r w:rsidR="009E1505">
        <w:rPr>
          <w:rStyle w:val="Hyperlink"/>
          <w:rFonts w:ascii="Helvetica" w:hAnsi="Helvetica" w:cs="Helvetica"/>
          <w:sz w:val="22"/>
          <w:szCs w:val="22"/>
        </w:rPr>
        <w:t xml:space="preserve"> </w:t>
      </w:r>
      <w:hyperlink r:id="rId26" w:history="1">
        <w:r w:rsidR="009E1505" w:rsidRPr="007E486C">
          <w:rPr>
            <w:rStyle w:val="Hyperlink"/>
            <w:rFonts w:ascii="Helvetica" w:hAnsi="Helvetica" w:cs="Helvetica"/>
            <w:sz w:val="22"/>
            <w:szCs w:val="22"/>
          </w:rPr>
          <w:t>Delaware Risk Calculator</w:t>
        </w:r>
      </w:hyperlink>
      <w:r w:rsidRPr="005E5906">
        <w:t xml:space="preserve">. </w:t>
      </w:r>
    </w:p>
    <w:p w14:paraId="1B630C13" w14:textId="77777777" w:rsidR="00C864D9" w:rsidRPr="005E5906" w:rsidRDefault="00C864D9" w:rsidP="00C864D9">
      <w:pPr>
        <w:jc w:val="both"/>
        <w:divId w:val="1722637042"/>
      </w:pPr>
    </w:p>
    <w:p w14:paraId="65ADDF5C" w14:textId="10408DD6" w:rsidR="00EA6396" w:rsidRDefault="00D673E7" w:rsidP="00C864D9">
      <w:pPr>
        <w:jc w:val="both"/>
        <w:divId w:val="1722637042"/>
      </w:pPr>
      <w:r w:rsidRPr="00C864D9">
        <w:rPr>
          <w:b/>
          <w:bCs/>
        </w:rPr>
        <w:lastRenderedPageBreak/>
        <w:t>(7/02)</w:t>
      </w:r>
      <w:r w:rsidRPr="005E5906">
        <w:t xml:space="preserve"> Forschungszentrum Jülich GmbH</w:t>
      </w:r>
      <w:r w:rsidR="007D7FBE">
        <w:t>,</w:t>
      </w:r>
      <w:r w:rsidRPr="005E5906">
        <w:t xml:space="preserve"> Jülich, Germany</w:t>
      </w:r>
      <w:r w:rsidR="00E71193">
        <w:t xml:space="preserve"> </w:t>
      </w:r>
      <w:r w:rsidR="007D7FBE">
        <w:t>v</w:t>
      </w:r>
      <w:r w:rsidR="00E71193" w:rsidRPr="005E5906">
        <w:t>isiting scientist</w:t>
      </w:r>
      <w:r w:rsidRPr="005E5906">
        <w:t>. Assisted in the operation of the SRA-Europe 2002 conference at Humboldt University, Berlin. Also met with MUT staff to coordinate UT's online risk assessment tools with the risk communication models of MUT to support the needs of the European Union.</w:t>
      </w:r>
    </w:p>
    <w:p w14:paraId="34607E3F" w14:textId="77777777" w:rsidR="00807378" w:rsidRPr="005E5906" w:rsidRDefault="00807378" w:rsidP="00A52A3F">
      <w:pPr>
        <w:divId w:val="1722637042"/>
      </w:pPr>
    </w:p>
    <w:p w14:paraId="006458BE" w14:textId="3D9FAB48" w:rsidR="00EA6396" w:rsidRDefault="00D673E7" w:rsidP="00C864D9">
      <w:pPr>
        <w:jc w:val="both"/>
        <w:divId w:val="1722637042"/>
      </w:pPr>
      <w:r w:rsidRPr="00096A5E">
        <w:rPr>
          <w:b/>
          <w:bCs/>
        </w:rPr>
        <w:t>(12/96 - 10/98)</w:t>
      </w:r>
      <w:r w:rsidRPr="005E5906">
        <w:t xml:space="preserve"> Oak Ridge National Laboratory (ORNL) as the </w:t>
      </w:r>
      <w:hyperlink r:id="rId27" w:history="1">
        <w:r w:rsidRPr="005E5906">
          <w:rPr>
            <w:rStyle w:val="Hyperlink"/>
            <w:rFonts w:ascii="Helvetica" w:hAnsi="Helvetica" w:cs="Helvetica"/>
            <w:sz w:val="22"/>
            <w:szCs w:val="22"/>
          </w:rPr>
          <w:t>PORTS</w:t>
        </w:r>
      </w:hyperlink>
      <w:r w:rsidRPr="005E5906">
        <w:t xml:space="preserve"> Human Health Risk Assessment Technical Lead (RATL) for the Toxicology and Risk Analysis (TRA) Section for the Risk Assessment Council (RAC). Primary duties included but were not limited to: oversight of all risk assessment activities, review of all risk related reports, risk management, interaction with state and federal regulatory agencies, participate in the RAC meetings to formulate risk policy for the DOE-ORO, assisted DOE with assessment of remedial progress, and management of all in-house risk activities for </w:t>
      </w:r>
      <w:hyperlink r:id="rId28" w:history="1">
        <w:r w:rsidRPr="005E5906">
          <w:rPr>
            <w:rStyle w:val="Hyperlink"/>
            <w:rFonts w:ascii="Helvetica" w:hAnsi="Helvetica" w:cs="Helvetica"/>
            <w:sz w:val="22"/>
            <w:szCs w:val="22"/>
          </w:rPr>
          <w:t>PORTS</w:t>
        </w:r>
      </w:hyperlink>
      <w:r w:rsidRPr="005E5906">
        <w:t xml:space="preserve">. Secondary responsibilities included providing direct support to the </w:t>
      </w:r>
      <w:hyperlink r:id="rId29" w:history="1">
        <w:r w:rsidRPr="005E5906">
          <w:rPr>
            <w:rStyle w:val="Hyperlink"/>
            <w:rFonts w:ascii="Helvetica" w:hAnsi="Helvetica" w:cs="Helvetica"/>
            <w:sz w:val="22"/>
            <w:szCs w:val="22"/>
          </w:rPr>
          <w:t>PGDP</w:t>
        </w:r>
      </w:hyperlink>
      <w:r w:rsidRPr="005E5906">
        <w:t xml:space="preserve"> RATL. This position required applying my knowledge of risk assessment to the various projects underway at PGDP. Additional areas of responsibility were: TRA USDOE Center for Risk Excellence liaison, USDOE ORO </w:t>
      </w:r>
      <w:r w:rsidR="00C7119A" w:rsidRPr="005E5906">
        <w:t>Risk-Based</w:t>
      </w:r>
      <w:r w:rsidRPr="005E5906">
        <w:t xml:space="preserve"> prioritization team member, and Risk Assessment Information System contributing author and reviewer.</w:t>
      </w:r>
    </w:p>
    <w:p w14:paraId="317AAE2B" w14:textId="77777777" w:rsidR="00C7119A" w:rsidRPr="005E5906" w:rsidRDefault="00C7119A" w:rsidP="00C864D9">
      <w:pPr>
        <w:jc w:val="both"/>
        <w:divId w:val="1722637042"/>
      </w:pPr>
    </w:p>
    <w:p w14:paraId="24AD26D3" w14:textId="4A786643" w:rsidR="00EA6396" w:rsidRDefault="00D673E7" w:rsidP="00C864D9">
      <w:pPr>
        <w:jc w:val="both"/>
        <w:divId w:val="1722637042"/>
      </w:pPr>
      <w:r w:rsidRPr="00096A5E">
        <w:rPr>
          <w:b/>
          <w:bCs/>
        </w:rPr>
        <w:t>(8/93 - 12/96)</w:t>
      </w:r>
      <w:r w:rsidRPr="005E5906">
        <w:t xml:space="preserve"> Human health risk assessor for Oak Ridge National Laboratory (ORNL) in support of PORTS and PGDP RATLs. Learned the EPA risk assessment guidance as directed by CERCLA/SARA. Duties included data gathering, toxicity assessments, exposure assessments, risk assessments, exposure modeling, environmental transport modeling, workplan writing, document review, writing PRG screening risk assessments, and oversight of related tasks. Notable baseline risk assessments (BRAs) for Paducah were the Northwest Plume, WAGs 1&amp;7, KOW, WAGs 7&amp;30, and WAG 17 BRAs. Notable reports completed were Background Concentrations and PRGs for Metals in Soil, Building C-410-D Proposed Fluorine Facility Risk Evaluation, North South Diversion Ditch Risk Evaluation, Building C-750-C Risk Evaluation, and Portsmouth Plantwide Human Health Risk Assessment. Complete publications list presented in subsequent pages. </w:t>
      </w:r>
    </w:p>
    <w:p w14:paraId="07F7EC7D" w14:textId="77777777" w:rsidR="00C7119A" w:rsidRPr="005E5906" w:rsidRDefault="00C7119A" w:rsidP="00C864D9">
      <w:pPr>
        <w:jc w:val="both"/>
        <w:divId w:val="1722637042"/>
      </w:pPr>
    </w:p>
    <w:p w14:paraId="21B7302B" w14:textId="6085700C" w:rsidR="00EA6396" w:rsidRDefault="00D673E7" w:rsidP="00C864D9">
      <w:pPr>
        <w:jc w:val="both"/>
        <w:divId w:val="1722637042"/>
      </w:pPr>
      <w:r w:rsidRPr="00096A5E">
        <w:rPr>
          <w:b/>
          <w:bCs/>
        </w:rPr>
        <w:t>(11/90-8/93)</w:t>
      </w:r>
      <w:r w:rsidRPr="005E5906">
        <w:t xml:space="preserve"> As an environmental analyst for the Y-12 National Security Complex Plant Laboratory, learned several EPA Federal Register analytical procedures: TCLP, TOC, COD, BOD, BNA</w:t>
      </w:r>
      <w:r w:rsidR="009A3DE6">
        <w:t>,</w:t>
      </w:r>
      <w:r w:rsidRPr="005E5906">
        <w:t xml:space="preserve"> and VOA. After receiving several promotions, operated a GC/MS performing VOA procedures. Duties included CLP data compilation, chromatography interpretation, data validation and writing ASTM procedures. Also received training in NPDES, TSCA and RCRA waste disposal procedures. </w:t>
      </w:r>
    </w:p>
    <w:p w14:paraId="7EB8394C" w14:textId="77777777" w:rsidR="00C7119A" w:rsidRPr="005E5906" w:rsidRDefault="00C7119A" w:rsidP="00C864D9">
      <w:pPr>
        <w:jc w:val="both"/>
        <w:divId w:val="1722637042"/>
      </w:pPr>
    </w:p>
    <w:p w14:paraId="0BBF9660" w14:textId="7C7B1716" w:rsidR="00EA6396" w:rsidRDefault="00D673E7" w:rsidP="00C864D9">
      <w:pPr>
        <w:jc w:val="both"/>
        <w:divId w:val="1722637042"/>
      </w:pPr>
      <w:r w:rsidRPr="00096A5E">
        <w:rPr>
          <w:b/>
          <w:bCs/>
        </w:rPr>
        <w:t>(8/89 - 6/90)</w:t>
      </w:r>
      <w:r w:rsidRPr="005E5906">
        <w:t xml:space="preserve"> Graduate research included research in mammalian molecular genetics, plasmids, cell culture, DNA cloning, sequencing, and molecular biology techniques. Also worked on retroviral transpositions and class characterization. These techniques were used in conjunction with cancer research and the effects of radiation.</w:t>
      </w:r>
    </w:p>
    <w:p w14:paraId="19319836" w14:textId="77777777" w:rsidR="00C7119A" w:rsidRPr="005E5906" w:rsidRDefault="00C7119A" w:rsidP="00C864D9">
      <w:pPr>
        <w:jc w:val="both"/>
        <w:divId w:val="1722637042"/>
      </w:pPr>
    </w:p>
    <w:p w14:paraId="4FF88F8E" w14:textId="74D80B8E" w:rsidR="00EA6396" w:rsidRDefault="00D673E7" w:rsidP="00C864D9">
      <w:pPr>
        <w:jc w:val="both"/>
        <w:divId w:val="1722637042"/>
      </w:pPr>
      <w:r w:rsidRPr="00096A5E">
        <w:rPr>
          <w:b/>
          <w:bCs/>
        </w:rPr>
        <w:t>(1/89 - 8/89)</w:t>
      </w:r>
      <w:r w:rsidRPr="005E5906">
        <w:t xml:space="preserve"> As a University of Tennessee </w:t>
      </w:r>
      <w:r w:rsidR="00096295" w:rsidRPr="005E5906">
        <w:t>sub</w:t>
      </w:r>
      <w:r w:rsidRPr="005E5906">
        <w:t>contractor, worked in the Health and Safety Research Division at ORNL. Digitized human C.A.T. scan images into three dimensional computer models. Software was then used to simulate radiation dose response in humans. In addition, collected data to establish relationships between age and lung size. Wrote the user</w:t>
      </w:r>
      <w:r w:rsidR="001D5F7F" w:rsidRPr="005E5906">
        <w:t>’</w:t>
      </w:r>
      <w:r w:rsidRPr="005E5906">
        <w:t xml:space="preserve">s </w:t>
      </w:r>
      <w:r w:rsidRPr="005E5906">
        <w:lastRenderedPageBreak/>
        <w:t>manual for this system (ORNL/TM-11237). Generated results have been internationally recognized.</w:t>
      </w:r>
    </w:p>
    <w:p w14:paraId="1F402A2B" w14:textId="77777777" w:rsidR="00807378" w:rsidRPr="005E5906" w:rsidRDefault="00807378" w:rsidP="00C864D9">
      <w:pPr>
        <w:jc w:val="both"/>
        <w:divId w:val="1722637042"/>
      </w:pPr>
    </w:p>
    <w:p w14:paraId="2DC2566A" w14:textId="77777777" w:rsidR="00585B3D" w:rsidRPr="00096A5E" w:rsidRDefault="00D673E7" w:rsidP="00C864D9">
      <w:pPr>
        <w:jc w:val="both"/>
        <w:divId w:val="1722637042"/>
        <w:rPr>
          <w:b/>
          <w:bCs/>
        </w:rPr>
      </w:pPr>
      <w:r w:rsidRPr="00096A5E">
        <w:rPr>
          <w:b/>
          <w:bCs/>
        </w:rPr>
        <w:t>PROFESSIONAL SKILLS:</w:t>
      </w:r>
    </w:p>
    <w:p w14:paraId="0DA81AA6" w14:textId="71A7B17F" w:rsidR="00EA6396" w:rsidRDefault="00D673E7" w:rsidP="00C864D9">
      <w:pPr>
        <w:jc w:val="both"/>
        <w:divId w:val="1722637042"/>
      </w:pPr>
      <w:r w:rsidRPr="005E5906">
        <w:t>Working knowledge of Unix</w:t>
      </w:r>
      <w:r w:rsidR="00366175">
        <w:t>,</w:t>
      </w:r>
      <w:r w:rsidRPr="005E5906">
        <w:t xml:space="preserve"> and PC </w:t>
      </w:r>
      <w:r w:rsidR="000E06A7">
        <w:t>systems</w:t>
      </w:r>
      <w:r w:rsidRPr="005E5906">
        <w:t xml:space="preserve">. Software frequently used: Database, </w:t>
      </w:r>
      <w:r w:rsidR="00B6705B">
        <w:t xml:space="preserve">Project </w:t>
      </w:r>
      <w:r w:rsidRPr="005E5906">
        <w:t>Management, Spreadsheets, Graphics, Word Processing, HTML, Communication,</w:t>
      </w:r>
      <w:r w:rsidR="00F17512" w:rsidRPr="005E5906">
        <w:t xml:space="preserve"> </w:t>
      </w:r>
      <w:r w:rsidRPr="005E5906">
        <w:t>SADA, RESRAD, DUST, MapInfo, ArcView, VSP</w:t>
      </w:r>
      <w:r w:rsidR="00B6705B">
        <w:t>, SQL</w:t>
      </w:r>
      <w:r w:rsidR="009B6E32">
        <w:t>,</w:t>
      </w:r>
      <w:r w:rsidRPr="005E5906">
        <w:t xml:space="preserve"> and SAS. HAZWOPER and Rad Worker trained</w:t>
      </w:r>
      <w:r w:rsidR="00977CC4" w:rsidRPr="005E5906">
        <w:t xml:space="preserve"> (expired)</w:t>
      </w:r>
      <w:r w:rsidRPr="005E5906">
        <w:t>.</w:t>
      </w:r>
      <w:r w:rsidR="009B6E32">
        <w:t xml:space="preserve"> Q-Clearance (expired).</w:t>
      </w:r>
    </w:p>
    <w:p w14:paraId="0936211E" w14:textId="77777777" w:rsidR="00807378" w:rsidRPr="005E5906" w:rsidRDefault="00807378" w:rsidP="00C864D9">
      <w:pPr>
        <w:jc w:val="both"/>
        <w:divId w:val="1722637042"/>
      </w:pPr>
    </w:p>
    <w:p w14:paraId="0513008A" w14:textId="7CA129FA" w:rsidR="00EA6396" w:rsidRDefault="00D673E7" w:rsidP="00C864D9">
      <w:pPr>
        <w:divId w:val="1722637042"/>
      </w:pPr>
      <w:r w:rsidRPr="00096A5E">
        <w:rPr>
          <w:b/>
          <w:bCs/>
        </w:rPr>
        <w:t xml:space="preserve">AWARDS AND HONORS </w:t>
      </w:r>
      <w:r w:rsidRPr="00096A5E">
        <w:rPr>
          <w:b/>
          <w:bCs/>
        </w:rPr>
        <w:br/>
      </w:r>
      <w:r w:rsidRPr="005E5906">
        <w:t xml:space="preserve">2011 Co-recipient of the </w:t>
      </w:r>
      <w:hyperlink r:id="rId30" w:history="1">
        <w:r w:rsidRPr="005E5906">
          <w:rPr>
            <w:rStyle w:val="Hyperlink"/>
            <w:rFonts w:ascii="Helvetica" w:hAnsi="Helvetica" w:cs="Helvetica"/>
            <w:sz w:val="22"/>
            <w:szCs w:val="22"/>
          </w:rPr>
          <w:t>Risk Management Paper of the Year</w:t>
        </w:r>
      </w:hyperlink>
      <w:r w:rsidRPr="005E5906">
        <w:t xml:space="preserve"> from the HERA journal. Office of Superfund Recognition Award for superior radionuclide and chemical risk support</w:t>
      </w:r>
      <w:r w:rsidR="00BF1EFD" w:rsidRPr="005E5906">
        <w:t>.</w:t>
      </w:r>
    </w:p>
    <w:p w14:paraId="4DD450DC" w14:textId="77777777" w:rsidR="00807378" w:rsidRPr="005E5906" w:rsidRDefault="00807378" w:rsidP="00A52A3F">
      <w:pPr>
        <w:divId w:val="1722637042"/>
      </w:pPr>
    </w:p>
    <w:p w14:paraId="45086462" w14:textId="1AA6E751" w:rsidR="00EA6396" w:rsidRDefault="00D673E7" w:rsidP="00A52A3F">
      <w:pPr>
        <w:divId w:val="1722637042"/>
        <w:rPr>
          <w:b/>
          <w:bCs/>
        </w:rPr>
      </w:pPr>
      <w:r w:rsidRPr="00096A5E">
        <w:rPr>
          <w:b/>
          <w:bCs/>
        </w:rPr>
        <w:t>REFERENCES: AVAILABLE UPON REQUEST</w:t>
      </w:r>
    </w:p>
    <w:p w14:paraId="1004D563" w14:textId="77777777" w:rsidR="008D5DDC" w:rsidRPr="00096A5E" w:rsidRDefault="008D5DDC" w:rsidP="00A52A3F">
      <w:pPr>
        <w:divId w:val="1722637042"/>
        <w:rPr>
          <w:b/>
          <w:bCs/>
        </w:rPr>
      </w:pPr>
    </w:p>
    <w:p w14:paraId="5726E65D" w14:textId="1F8DF64F" w:rsidR="00607271" w:rsidRPr="00096A5E" w:rsidRDefault="00D673E7" w:rsidP="00C864D9">
      <w:pPr>
        <w:jc w:val="both"/>
        <w:divId w:val="1722637042"/>
        <w:rPr>
          <w:b/>
          <w:bCs/>
        </w:rPr>
      </w:pPr>
      <w:r w:rsidRPr="00096A5E">
        <w:rPr>
          <w:b/>
          <w:bCs/>
        </w:rPr>
        <w:t>CONFRENCE PRESENTATIONS AND TRAININGS:</w:t>
      </w:r>
    </w:p>
    <w:p w14:paraId="6DFFCA8E" w14:textId="7CE9615F" w:rsidR="00EA6396" w:rsidRDefault="00D673E7" w:rsidP="00C864D9">
      <w:pPr>
        <w:jc w:val="both"/>
        <w:divId w:val="1722637042"/>
      </w:pPr>
      <w:r w:rsidRPr="005E5906">
        <w:t xml:space="preserve">SETAC 20th Annual Meeting, SRA 2000 Annual Meeting, SRA 2001 Annual Meeting, EIMS Symposium 2000, FIELDS/SADA Conference&amp; Training 2001, FIELDS/SADA Conference&amp; Training 2003, SRA-Europe 2002 Annual Meeting, World Congress on Risk 2003 Meeting, SRA 2004 Annual Meeting, 2008 ITRC meeting, 2008 EPA TRIAD conference, 2010 EPA Regional Risk Assessors Meeting, 2010 Radiation Research Society, 2012 NARPM Training, 2012 HHRRA Training, 2012 SRA Annual Meeting, 2013 SRA Annual Meeting, 2014 OHHRRAF Training, 2014 NARPM, 2014 SRA Annual Meeting, 2015 SOT Annual Meeting, 2015 Superfund Radiation Risk Assessment Training (Boston, New York, Atlanta, Philadelphia), 2016 Superfund Radiation Risk Assessment Training (Phoenix, Washington D.C., Denver, San Francisco, </w:t>
      </w:r>
      <w:r w:rsidR="009A3DE6" w:rsidRPr="005E5906">
        <w:t>Uncasville</w:t>
      </w:r>
      <w:r w:rsidRPr="005E5906">
        <w:t>, Pittsburgh, Arlington), ANS 2016, WM 2016, 2016 SOT Annual Meeting, SRA</w:t>
      </w:r>
      <w:r w:rsidR="00DF3F59" w:rsidRPr="005E5906">
        <w:t xml:space="preserve"> 2016</w:t>
      </w:r>
      <w:r w:rsidRPr="005E5906">
        <w:t xml:space="preserve"> Annual Meeting, Health Physics Society 50th Midyear 2017, WM 2017, 2017 Superfund Radiation Risk Assessment Training (Arlington, Bethesda, Kansas City, Phoenix). 2018 Alaska risk calculator training (Juneau, Anchorage, Fairbanks). 2018 Superfund Radiation Risk Assessment Training (HPS Cleveland)</w:t>
      </w:r>
      <w:r w:rsidR="00310E46" w:rsidRPr="005E5906">
        <w:t>. 2019 U.S EPA and RAIS Screening Level Calculator Training for Chemical and Radionuclide Risk Analysis (Knoxville, Virginia DEQ). 2019 Superfund Radiation Risk Assessment Training (Navajo Nation, HPS Orlando).</w:t>
      </w:r>
      <w:r w:rsidR="00CA2929" w:rsidRPr="005E5906">
        <w:t xml:space="preserve"> </w:t>
      </w:r>
      <w:r w:rsidR="009E71CA" w:rsidRPr="005E5906">
        <w:t>WM</w:t>
      </w:r>
      <w:r w:rsidR="001F05AD" w:rsidRPr="005E5906">
        <w:t xml:space="preserve"> 2020</w:t>
      </w:r>
      <w:r w:rsidR="009E71CA" w:rsidRPr="005E5906">
        <w:t xml:space="preserve">. </w:t>
      </w:r>
      <w:r w:rsidR="00CA2929" w:rsidRPr="005E5906">
        <w:t>Health Physics Society</w:t>
      </w:r>
      <w:r w:rsidR="008E775A" w:rsidRPr="005E5906">
        <w:t xml:space="preserve"> </w:t>
      </w:r>
      <w:r w:rsidR="00DE1E10" w:rsidRPr="005E5906">
        <w:t>2021</w:t>
      </w:r>
      <w:r w:rsidR="008E775A" w:rsidRPr="005E5906">
        <w:t>.</w:t>
      </w:r>
    </w:p>
    <w:p w14:paraId="15E0E314" w14:textId="77777777" w:rsidR="002609DD" w:rsidRPr="005E5906" w:rsidRDefault="002609DD" w:rsidP="00A52A3F">
      <w:pPr>
        <w:divId w:val="1722637042"/>
      </w:pPr>
    </w:p>
    <w:p w14:paraId="090AAA51" w14:textId="6F7435E1" w:rsidR="00EA6396" w:rsidRDefault="00D673E7" w:rsidP="00A52A3F">
      <w:pPr>
        <w:divId w:val="1722637042"/>
        <w:rPr>
          <w:b/>
          <w:bCs/>
        </w:rPr>
      </w:pPr>
      <w:r w:rsidRPr="00096A5E">
        <w:rPr>
          <w:b/>
          <w:bCs/>
        </w:rPr>
        <w:t>PUBLICATIONS:</w:t>
      </w:r>
    </w:p>
    <w:p w14:paraId="5843DABE" w14:textId="77777777" w:rsidR="002609DD" w:rsidRPr="00096A5E" w:rsidRDefault="002609DD" w:rsidP="00A52A3F">
      <w:pPr>
        <w:divId w:val="1722637042"/>
        <w:rPr>
          <w:b/>
          <w:bCs/>
        </w:rPr>
      </w:pPr>
    </w:p>
    <w:p w14:paraId="79349B4C" w14:textId="77777777" w:rsidR="00EA6396" w:rsidRPr="00096A5E" w:rsidRDefault="00D673E7" w:rsidP="00A52A3F">
      <w:pPr>
        <w:divId w:val="1722637042"/>
        <w:rPr>
          <w:b/>
          <w:bCs/>
        </w:rPr>
      </w:pPr>
      <w:r w:rsidRPr="00096A5E">
        <w:rPr>
          <w:b/>
          <w:bCs/>
        </w:rPr>
        <w:t>Primary Author:</w:t>
      </w:r>
    </w:p>
    <w:p w14:paraId="7236A373" w14:textId="46A20A3A" w:rsidR="00EA6396" w:rsidRDefault="00D673E7" w:rsidP="00C864D9">
      <w:pPr>
        <w:jc w:val="both"/>
        <w:divId w:val="1722637042"/>
      </w:pPr>
      <w:r w:rsidRPr="005E5906">
        <w:t>Operating Manual and Principles for the HASRD Biomedical Workstation, ORNL/TM-11237, July 1989.</w:t>
      </w:r>
    </w:p>
    <w:p w14:paraId="516F2843" w14:textId="77777777" w:rsidR="009E6E72" w:rsidRPr="005E5906" w:rsidRDefault="009E6E72" w:rsidP="00C864D9">
      <w:pPr>
        <w:jc w:val="both"/>
        <w:divId w:val="1722637042"/>
      </w:pPr>
    </w:p>
    <w:p w14:paraId="352961E6" w14:textId="30688056" w:rsidR="00EA6396" w:rsidRDefault="00D673E7" w:rsidP="00C864D9">
      <w:pPr>
        <w:jc w:val="both"/>
        <w:divId w:val="1722637042"/>
      </w:pPr>
      <w:r w:rsidRPr="005E5906">
        <w:t>Baseline Risk Assessment for Exposure to Polycyclic Aromatic Hydrocarbons at Underground Storage Tanks C-750A&amp;B Paducah Gaseous Diffusion Plant, Paducah, Kentucky, KY/EM-170, August 1996.</w:t>
      </w:r>
    </w:p>
    <w:p w14:paraId="34102F98" w14:textId="77777777" w:rsidR="009E6E72" w:rsidRPr="005E5906" w:rsidRDefault="009E6E72" w:rsidP="00C864D9">
      <w:pPr>
        <w:jc w:val="both"/>
        <w:divId w:val="1722637042"/>
      </w:pPr>
    </w:p>
    <w:p w14:paraId="0F9D766C" w14:textId="6BFEB794" w:rsidR="00EA6396" w:rsidRDefault="00D673E7" w:rsidP="00C864D9">
      <w:pPr>
        <w:jc w:val="both"/>
        <w:divId w:val="1722637042"/>
      </w:pPr>
      <w:r w:rsidRPr="005E5906">
        <w:lastRenderedPageBreak/>
        <w:t>Baseline Risk Assessment for Underground Storage Tanks 130, 131, 132, 133, and 134 as presented in the WAGs 1&amp;7 RFI/RI, PGDP, Paducah, Kentucky, UST identification number 6319073, KY/EM-179, September 1996.</w:t>
      </w:r>
    </w:p>
    <w:p w14:paraId="25D58F0B" w14:textId="77777777" w:rsidR="009E6E72" w:rsidRPr="005E5906" w:rsidRDefault="009E6E72" w:rsidP="00C864D9">
      <w:pPr>
        <w:jc w:val="both"/>
        <w:divId w:val="1722637042"/>
      </w:pPr>
    </w:p>
    <w:p w14:paraId="26D4B3C0" w14:textId="77777777" w:rsidR="00EA6396" w:rsidRPr="005E5906" w:rsidRDefault="00D673E7" w:rsidP="00C864D9">
      <w:pPr>
        <w:jc w:val="both"/>
        <w:divId w:val="1722637042"/>
      </w:pPr>
      <w:r w:rsidRPr="005E5906">
        <w:t xml:space="preserve">Risk Reduction Action Report for the East Drainage Ditch, POEF-LMES-159, September 1997. </w:t>
      </w:r>
    </w:p>
    <w:p w14:paraId="49008E2A" w14:textId="0CDD7097" w:rsidR="00EA6396" w:rsidRDefault="00D673E7" w:rsidP="00C864D9">
      <w:pPr>
        <w:jc w:val="both"/>
        <w:divId w:val="1722637042"/>
      </w:pPr>
      <w:r w:rsidRPr="005E5906">
        <w:t>Proposed Core Hole Locations and Sample Plan for Confirmatory Round of Samples for the East Drainage Ditch, POEF-LMES-170, October 1997.</w:t>
      </w:r>
    </w:p>
    <w:p w14:paraId="2635114C" w14:textId="77777777" w:rsidR="009E6E72" w:rsidRPr="005E5906" w:rsidRDefault="009E6E72" w:rsidP="00C864D9">
      <w:pPr>
        <w:jc w:val="both"/>
        <w:divId w:val="1722637042"/>
      </w:pPr>
    </w:p>
    <w:p w14:paraId="355AAAB0" w14:textId="5CE54C2D" w:rsidR="00EA6396" w:rsidRDefault="00D673E7" w:rsidP="00C864D9">
      <w:pPr>
        <w:jc w:val="both"/>
        <w:divId w:val="1722637042"/>
      </w:pPr>
      <w:r w:rsidRPr="005E5906">
        <w:t>Risk Reduction Action Report for the East Drainage Ditch, POEF-LMES-159 Rev.1, March 1998.</w:t>
      </w:r>
    </w:p>
    <w:p w14:paraId="63A843B2" w14:textId="77777777" w:rsidR="009E6E72" w:rsidRPr="005E5906" w:rsidRDefault="009E6E72" w:rsidP="00C864D9">
      <w:pPr>
        <w:jc w:val="both"/>
        <w:divId w:val="1722637042"/>
      </w:pPr>
    </w:p>
    <w:p w14:paraId="7252FC13" w14:textId="4939EC57" w:rsidR="00EA6396" w:rsidRDefault="00D673E7" w:rsidP="00C864D9">
      <w:pPr>
        <w:jc w:val="both"/>
        <w:divId w:val="1722637042"/>
      </w:pPr>
      <w:r w:rsidRPr="005E5906">
        <w:t>Data Assessment and Risk Evaluation Report for Big Run Creek and the Southwest Drainage Ditch for Portsmouth Gaseous Diffusion Plant. Piketon, Ohio, DOE/OR/11-1689, POEF-LMES-179, March 1998.</w:t>
      </w:r>
    </w:p>
    <w:p w14:paraId="4E2C95EE" w14:textId="77777777" w:rsidR="009E6E72" w:rsidRPr="005E5906" w:rsidRDefault="009E6E72" w:rsidP="00C864D9">
      <w:pPr>
        <w:jc w:val="both"/>
        <w:divId w:val="1722637042"/>
      </w:pPr>
    </w:p>
    <w:p w14:paraId="749D5272" w14:textId="1F809A83" w:rsidR="00EA6396" w:rsidRDefault="00D673E7" w:rsidP="00C864D9">
      <w:pPr>
        <w:jc w:val="both"/>
        <w:divId w:val="1722637042"/>
      </w:pPr>
      <w:r w:rsidRPr="005E5906">
        <w:t>Site Evaluation Report for the East Drainage Ditch, X-701B Plateau, and the Former Retention Basins for Portsmouth Gaseous Diffusion Plant. Piketon, Ohio, DOE/OR/11-300S, BJC/PORTS-59 October 1998.</w:t>
      </w:r>
    </w:p>
    <w:p w14:paraId="23B45F45" w14:textId="77777777" w:rsidR="009E6E72" w:rsidRPr="005E5906" w:rsidRDefault="009E6E72" w:rsidP="00C864D9">
      <w:pPr>
        <w:jc w:val="both"/>
        <w:divId w:val="1722637042"/>
      </w:pPr>
    </w:p>
    <w:p w14:paraId="5270CED5" w14:textId="59B79F13" w:rsidR="00EA6396" w:rsidRDefault="00D673E7" w:rsidP="00C864D9">
      <w:pPr>
        <w:jc w:val="both"/>
        <w:divId w:val="1722637042"/>
      </w:pPr>
      <w:r w:rsidRPr="005E5906">
        <w:t>Data Assessment and Risk Evaluation Report for the North Drainage Ditch for Portsmouth Gaseous Diffusion Plant Piketon, Ohio, DOE/OR/11-3008&amp;D2, BJC/PORTS-61 December 1998.</w:t>
      </w:r>
    </w:p>
    <w:p w14:paraId="745E80E7" w14:textId="77777777" w:rsidR="009E6E72" w:rsidRPr="005E5906" w:rsidRDefault="009E6E72" w:rsidP="00C864D9">
      <w:pPr>
        <w:jc w:val="both"/>
        <w:divId w:val="1722637042"/>
      </w:pPr>
    </w:p>
    <w:p w14:paraId="4CBB9F1D" w14:textId="6884186C" w:rsidR="00EA6396" w:rsidRDefault="00D673E7" w:rsidP="00C864D9">
      <w:pPr>
        <w:jc w:val="both"/>
        <w:divId w:val="1722637042"/>
      </w:pPr>
      <w:r w:rsidRPr="005E5906">
        <w:t>Data Assessment and Risk Evaluation Report for the Northeast Drainage Ditch for Portsmouth Gaseous Diffusion Plant Piketon, Ohio, DOE/OR/11-3013&amp;D1 January 1999.</w:t>
      </w:r>
    </w:p>
    <w:p w14:paraId="2EA9E6D7" w14:textId="77777777" w:rsidR="009E6E72" w:rsidRPr="005E5906" w:rsidRDefault="009E6E72" w:rsidP="00C864D9">
      <w:pPr>
        <w:jc w:val="both"/>
        <w:divId w:val="1722637042"/>
      </w:pPr>
    </w:p>
    <w:p w14:paraId="54D3FE4A" w14:textId="47098665" w:rsidR="00EA6396" w:rsidRDefault="00D673E7" w:rsidP="00C864D9">
      <w:pPr>
        <w:jc w:val="both"/>
        <w:divId w:val="1722637042"/>
      </w:pPr>
      <w:r w:rsidRPr="005E5906">
        <w:t>DUST Modeling and Risk Assessment for FFA Tank W-1, Bechtel Jacobs Company, LLC, December 28, 2000.</w:t>
      </w:r>
    </w:p>
    <w:p w14:paraId="5375A4AF" w14:textId="77777777" w:rsidR="009E6E72" w:rsidRPr="005E5906" w:rsidRDefault="009E6E72" w:rsidP="00C864D9">
      <w:pPr>
        <w:jc w:val="both"/>
        <w:divId w:val="1722637042"/>
      </w:pPr>
    </w:p>
    <w:p w14:paraId="63CF4628" w14:textId="633BBF2A" w:rsidR="00EA6396" w:rsidRDefault="00D673E7" w:rsidP="00C864D9">
      <w:pPr>
        <w:jc w:val="both"/>
        <w:divId w:val="1722637042"/>
      </w:pPr>
      <w:r w:rsidRPr="005E5906">
        <w:t>DUST Modeling and Risk Assessment for FFA Tank W-11, Bechtel Jacobs Company, LLC, January 11, 2001.</w:t>
      </w:r>
    </w:p>
    <w:p w14:paraId="06219630" w14:textId="77777777" w:rsidR="009E6E72" w:rsidRPr="005E5906" w:rsidRDefault="009E6E72" w:rsidP="00C864D9">
      <w:pPr>
        <w:jc w:val="both"/>
        <w:divId w:val="1722637042"/>
      </w:pPr>
    </w:p>
    <w:p w14:paraId="21C34E3D" w14:textId="518B6071" w:rsidR="00EA6396" w:rsidRDefault="00D673E7" w:rsidP="00C864D9">
      <w:pPr>
        <w:jc w:val="both"/>
        <w:divId w:val="1722637042"/>
      </w:pPr>
      <w:r w:rsidRPr="005E5906">
        <w:t>DUST Modeling and Risk Assessment for Inactive LLLW Tank TH-4, Bechtel Jacobs Company, LLC, January 14, 2001.</w:t>
      </w:r>
    </w:p>
    <w:p w14:paraId="6AFFA0F2" w14:textId="77777777" w:rsidR="009E6E72" w:rsidRPr="005E5906" w:rsidRDefault="009E6E72" w:rsidP="00C864D9">
      <w:pPr>
        <w:jc w:val="both"/>
        <w:divId w:val="1722637042"/>
      </w:pPr>
    </w:p>
    <w:p w14:paraId="5C9D4E9A" w14:textId="6BCE5235" w:rsidR="00EA6396" w:rsidRDefault="00D673E7" w:rsidP="00C864D9">
      <w:pPr>
        <w:jc w:val="both"/>
        <w:divId w:val="1722637042"/>
      </w:pPr>
      <w:r w:rsidRPr="005E5906">
        <w:t>DUST Modeling and Risk Assessment for Inactive LLLW Tank WC-4, Bechtel Jacobs Company, LLC, January 16, 2001.</w:t>
      </w:r>
    </w:p>
    <w:p w14:paraId="6534A37A" w14:textId="77777777" w:rsidR="009E6E72" w:rsidRPr="005E5906" w:rsidRDefault="009E6E72" w:rsidP="00C864D9">
      <w:pPr>
        <w:jc w:val="both"/>
        <w:divId w:val="1722637042"/>
      </w:pPr>
    </w:p>
    <w:p w14:paraId="19DD5EFC" w14:textId="2F7072A3" w:rsidR="00EA6396" w:rsidRDefault="00D673E7" w:rsidP="00C864D9">
      <w:pPr>
        <w:jc w:val="both"/>
        <w:divId w:val="1722637042"/>
      </w:pPr>
      <w:r w:rsidRPr="005E5906">
        <w:t>DUST Modeling and Risk Assessment for Inactive LLLW Tank W-19, Bechtel Jacobs Company, LLC, January 26, 2001.</w:t>
      </w:r>
    </w:p>
    <w:p w14:paraId="07EA9F99" w14:textId="77777777" w:rsidR="009E6E72" w:rsidRPr="005E5906" w:rsidRDefault="009E6E72" w:rsidP="00C864D9">
      <w:pPr>
        <w:jc w:val="both"/>
        <w:divId w:val="1722637042"/>
      </w:pPr>
    </w:p>
    <w:p w14:paraId="5C91B8BF" w14:textId="4EF975E4" w:rsidR="00EA6396" w:rsidRDefault="00D673E7" w:rsidP="00C864D9">
      <w:pPr>
        <w:jc w:val="both"/>
        <w:divId w:val="1722637042"/>
      </w:pPr>
      <w:r w:rsidRPr="005E5906">
        <w:t>DUST Modeling and Risk Assessment for Inactive LLLW Tank W-20, Bechtel Jacobs Company, LLC, February 2, 2001.</w:t>
      </w:r>
    </w:p>
    <w:p w14:paraId="532C8657" w14:textId="77777777" w:rsidR="009E6E72" w:rsidRPr="005E5906" w:rsidRDefault="009E6E72" w:rsidP="00C864D9">
      <w:pPr>
        <w:jc w:val="both"/>
        <w:divId w:val="1722637042"/>
      </w:pPr>
    </w:p>
    <w:p w14:paraId="5D695100" w14:textId="6E2AA1A0" w:rsidR="00EA6396" w:rsidRDefault="00D673E7" w:rsidP="00C864D9">
      <w:pPr>
        <w:jc w:val="both"/>
        <w:divId w:val="1722637042"/>
      </w:pPr>
      <w:r w:rsidRPr="005E5906">
        <w:t>DUST Modeling and Risk Assessment for Inactive LLLW Tank W1I, Bechtel Jacobs Company, LLC, March 16, 2001.</w:t>
      </w:r>
    </w:p>
    <w:p w14:paraId="74877826" w14:textId="77777777" w:rsidR="009E6E72" w:rsidRPr="005E5906" w:rsidRDefault="009E6E72" w:rsidP="00C864D9">
      <w:pPr>
        <w:jc w:val="both"/>
        <w:divId w:val="1722637042"/>
      </w:pPr>
    </w:p>
    <w:p w14:paraId="2C555022" w14:textId="0C1941EB" w:rsidR="00EA6396" w:rsidRDefault="00D673E7" w:rsidP="00C864D9">
      <w:pPr>
        <w:jc w:val="both"/>
        <w:divId w:val="1722637042"/>
      </w:pPr>
      <w:r w:rsidRPr="005E5906">
        <w:lastRenderedPageBreak/>
        <w:t>DUST Modeling and Risk Assessment for Inactive LLLW Tank WC-9, Bechtel Jacobs Company, LLC, June 1, 2001.</w:t>
      </w:r>
    </w:p>
    <w:p w14:paraId="40028E71" w14:textId="77777777" w:rsidR="009E6E72" w:rsidRPr="005E5906" w:rsidRDefault="009E6E72" w:rsidP="00C864D9">
      <w:pPr>
        <w:jc w:val="both"/>
        <w:divId w:val="1722637042"/>
      </w:pPr>
    </w:p>
    <w:p w14:paraId="5FEFE7BD" w14:textId="4951AA2E" w:rsidR="00EA6396" w:rsidRDefault="00D673E7" w:rsidP="00C864D9">
      <w:pPr>
        <w:jc w:val="both"/>
        <w:divId w:val="1722637042"/>
      </w:pPr>
      <w:r w:rsidRPr="005E5906">
        <w:t>DUST Modeling and Risk Assessment for Inactive LLLW Tank WC-20, Bechtel Jacobs Company, LLC, June 1, 2001.</w:t>
      </w:r>
    </w:p>
    <w:p w14:paraId="5CFA7A2E" w14:textId="77777777" w:rsidR="009E6E72" w:rsidRPr="005E5906" w:rsidRDefault="009E6E72" w:rsidP="00C864D9">
      <w:pPr>
        <w:jc w:val="both"/>
        <w:divId w:val="1722637042"/>
      </w:pPr>
    </w:p>
    <w:p w14:paraId="119A3121" w14:textId="102E1DE4" w:rsidR="00EA6396" w:rsidRDefault="00D673E7" w:rsidP="00C864D9">
      <w:pPr>
        <w:jc w:val="both"/>
        <w:divId w:val="1722637042"/>
      </w:pPr>
      <w:r w:rsidRPr="005E5906">
        <w:t xml:space="preserve">DUST Modeling and Risk Assessment for Inactive LLLW Tank W-18, Bechtel Jacobs Company, LLC, June 5, 2001. </w:t>
      </w:r>
    </w:p>
    <w:p w14:paraId="543D6BE0" w14:textId="77777777" w:rsidR="009E6E72" w:rsidRPr="005E5906" w:rsidRDefault="009E6E72" w:rsidP="00C864D9">
      <w:pPr>
        <w:jc w:val="both"/>
        <w:divId w:val="1722637042"/>
      </w:pPr>
    </w:p>
    <w:p w14:paraId="635B6EF1" w14:textId="5360451E" w:rsidR="00EA6396" w:rsidRDefault="00D673E7" w:rsidP="00C864D9">
      <w:pPr>
        <w:jc w:val="both"/>
        <w:divId w:val="1722637042"/>
      </w:pPr>
      <w:r w:rsidRPr="005E5906">
        <w:t>DUST Modeling and Risk Assessment for Inactive LLLW Tank W-17, Bechtel Jacobs Company, LLC, June 5, 2001.</w:t>
      </w:r>
    </w:p>
    <w:p w14:paraId="2F487A73" w14:textId="77777777" w:rsidR="009E6E72" w:rsidRPr="005E5906" w:rsidRDefault="009E6E72" w:rsidP="00C864D9">
      <w:pPr>
        <w:jc w:val="both"/>
        <w:divId w:val="1722637042"/>
      </w:pPr>
    </w:p>
    <w:p w14:paraId="45BBF6FB" w14:textId="0A8E4C7F" w:rsidR="00EA6396" w:rsidRDefault="00D673E7" w:rsidP="00C864D9">
      <w:pPr>
        <w:jc w:val="both"/>
        <w:divId w:val="1722637042"/>
      </w:pPr>
      <w:r w:rsidRPr="005E5906">
        <w:t>DUST Modeling and Risk Assessment for Inactive LLLW Tank F-501, Bechtel Jacobs Company, LLC, Knoxville, June 6, 2001.</w:t>
      </w:r>
    </w:p>
    <w:p w14:paraId="101958E4" w14:textId="77777777" w:rsidR="009E6E72" w:rsidRPr="005E5906" w:rsidRDefault="009E6E72" w:rsidP="00C864D9">
      <w:pPr>
        <w:jc w:val="both"/>
        <w:divId w:val="1722637042"/>
      </w:pPr>
    </w:p>
    <w:p w14:paraId="56FED672" w14:textId="3773D182" w:rsidR="00EA6396" w:rsidRDefault="00D673E7" w:rsidP="00C864D9">
      <w:pPr>
        <w:jc w:val="both"/>
        <w:divId w:val="1722637042"/>
      </w:pPr>
      <w:r w:rsidRPr="005E5906">
        <w:t>DUST Modeling and Risk Assessment for Inactive LLLW Tank WC-3, Bechtel Jacobs Company, LLC, June 6, 2001.</w:t>
      </w:r>
    </w:p>
    <w:p w14:paraId="71394848" w14:textId="77777777" w:rsidR="009E6E72" w:rsidRPr="005E5906" w:rsidRDefault="009E6E72" w:rsidP="00C864D9">
      <w:pPr>
        <w:jc w:val="both"/>
        <w:divId w:val="1722637042"/>
      </w:pPr>
    </w:p>
    <w:p w14:paraId="0975B666" w14:textId="3D96ED1D" w:rsidR="00EA6396" w:rsidRDefault="00D673E7" w:rsidP="00C864D9">
      <w:pPr>
        <w:jc w:val="both"/>
        <w:divId w:val="1722637042"/>
      </w:pPr>
      <w:r w:rsidRPr="005E5906">
        <w:t>DUST Modeling and Risk Assessment for FFA Tank W-2, Bechtel Jacobs Company, LLC, June 7, 2001.</w:t>
      </w:r>
    </w:p>
    <w:p w14:paraId="62134E38" w14:textId="77777777" w:rsidR="009E6E72" w:rsidRPr="005E5906" w:rsidRDefault="009E6E72" w:rsidP="00C864D9">
      <w:pPr>
        <w:jc w:val="both"/>
        <w:divId w:val="1722637042"/>
      </w:pPr>
    </w:p>
    <w:p w14:paraId="03E31883" w14:textId="19ACAEA3" w:rsidR="00EA6396" w:rsidRDefault="00D673E7" w:rsidP="00C864D9">
      <w:pPr>
        <w:jc w:val="both"/>
        <w:divId w:val="1722637042"/>
      </w:pPr>
      <w:r w:rsidRPr="005E5906">
        <w:t>DUST Modeling and Risk Assessment for FFA Tank T-14, Bechtel Jacobs Company, LLC, June 7, 2001.</w:t>
      </w:r>
    </w:p>
    <w:p w14:paraId="10B45319" w14:textId="77777777" w:rsidR="009E6E72" w:rsidRPr="005E5906" w:rsidRDefault="009E6E72" w:rsidP="00C864D9">
      <w:pPr>
        <w:jc w:val="both"/>
        <w:divId w:val="1722637042"/>
      </w:pPr>
    </w:p>
    <w:p w14:paraId="3A300892" w14:textId="70E49C2D" w:rsidR="00EA6396" w:rsidRDefault="00D673E7" w:rsidP="00C864D9">
      <w:pPr>
        <w:jc w:val="both"/>
        <w:divId w:val="1722637042"/>
      </w:pPr>
      <w:r w:rsidRPr="005E5906">
        <w:t>DUST Modeling and Risk Assessment for Inactive LLLW Tank 2026A, June 7, 2001, Bechtel Jacobs Company, LLC, June 7, 2001.</w:t>
      </w:r>
    </w:p>
    <w:p w14:paraId="0D487019" w14:textId="77777777" w:rsidR="009E6E72" w:rsidRPr="005E5906" w:rsidRDefault="009E6E72" w:rsidP="00C864D9">
      <w:pPr>
        <w:jc w:val="both"/>
        <w:divId w:val="1722637042"/>
      </w:pPr>
    </w:p>
    <w:p w14:paraId="5FC59E9B" w14:textId="2F012B67" w:rsidR="00EA6396" w:rsidRDefault="00D673E7" w:rsidP="00C864D9">
      <w:pPr>
        <w:jc w:val="both"/>
        <w:divId w:val="1722637042"/>
      </w:pPr>
      <w:r w:rsidRPr="005E5906">
        <w:t>DUST Modeling and Risk Assessment for HFIR Inactive LLLW Tank, Bechtel Jacobs Company, LLC, May 30, 2003.</w:t>
      </w:r>
    </w:p>
    <w:p w14:paraId="5AEACA5C" w14:textId="77777777" w:rsidR="009E6E72" w:rsidRPr="005E5906" w:rsidRDefault="009E6E72" w:rsidP="00C864D9">
      <w:pPr>
        <w:jc w:val="both"/>
        <w:divId w:val="1722637042"/>
      </w:pPr>
    </w:p>
    <w:p w14:paraId="3B628AC8" w14:textId="7C62113F" w:rsidR="00EA6396" w:rsidRDefault="00D673E7" w:rsidP="00C864D9">
      <w:pPr>
        <w:jc w:val="both"/>
        <w:divId w:val="1722637042"/>
      </w:pPr>
      <w:r w:rsidRPr="005E5906">
        <w:t>DUST Modeling and Risk Assessment for T-13 LLLW Tank, Bechtel Jacobs Company, LLC, March 11, 2004.</w:t>
      </w:r>
    </w:p>
    <w:p w14:paraId="593C9851" w14:textId="77777777" w:rsidR="009E6E72" w:rsidRPr="005E5906" w:rsidRDefault="009E6E72" w:rsidP="00C864D9">
      <w:pPr>
        <w:jc w:val="both"/>
        <w:divId w:val="1722637042"/>
      </w:pPr>
    </w:p>
    <w:p w14:paraId="4E72F8C4" w14:textId="04AC5424" w:rsidR="00EA6396" w:rsidRDefault="00D673E7" w:rsidP="00C864D9">
      <w:pPr>
        <w:jc w:val="both"/>
        <w:divId w:val="1722637042"/>
      </w:pPr>
      <w:r w:rsidRPr="005E5906">
        <w:t>DUST Modeling and Risk Assessment for Building 7567 and Tank T-3. BJC/OR-1848, May 2004.</w:t>
      </w:r>
    </w:p>
    <w:p w14:paraId="62248E17" w14:textId="77777777" w:rsidR="009E6E72" w:rsidRPr="005E5906" w:rsidRDefault="009E6E72" w:rsidP="00C864D9">
      <w:pPr>
        <w:jc w:val="both"/>
        <w:divId w:val="1722637042"/>
      </w:pPr>
    </w:p>
    <w:p w14:paraId="2BBE5670" w14:textId="2F6BFE38" w:rsidR="00EA6396" w:rsidRDefault="00D673E7" w:rsidP="00C864D9">
      <w:pPr>
        <w:jc w:val="both"/>
        <w:divId w:val="1722637042"/>
      </w:pPr>
      <w:r w:rsidRPr="005E5906">
        <w:t>DUST Modeling and Risk Assessment for 3597 Hot Storage Garden, Oak Ridge National Laboratory, Oak Ridge, Tennessee. BJC/OR-1873, July 2004.</w:t>
      </w:r>
    </w:p>
    <w:p w14:paraId="5D047977" w14:textId="77777777" w:rsidR="009E6E72" w:rsidRPr="005E5906" w:rsidRDefault="009E6E72" w:rsidP="00C864D9">
      <w:pPr>
        <w:jc w:val="both"/>
        <w:divId w:val="1722637042"/>
      </w:pPr>
    </w:p>
    <w:p w14:paraId="4006DB5B" w14:textId="587B306C" w:rsidR="00EA6396" w:rsidRDefault="00D673E7" w:rsidP="00C864D9">
      <w:pPr>
        <w:jc w:val="both"/>
        <w:divId w:val="1722637042"/>
      </w:pPr>
      <w:r w:rsidRPr="005E5906">
        <w:t>Strawman Addendum Report to “Remedial Investigation/Feasibility Study for the David Witherspoon Inc. 901 Site, Knoxville, Tennessee”, Bechtel Jacobs Company, LLC,</w:t>
      </w:r>
      <w:r w:rsidR="001F72EE">
        <w:t xml:space="preserve"> </w:t>
      </w:r>
      <w:r w:rsidRPr="005E5906">
        <w:t xml:space="preserve">January 2004. </w:t>
      </w:r>
    </w:p>
    <w:p w14:paraId="4B2E0459" w14:textId="77777777" w:rsidR="00646652" w:rsidRPr="005E5906" w:rsidRDefault="00646652" w:rsidP="00C864D9">
      <w:pPr>
        <w:jc w:val="both"/>
        <w:divId w:val="1722637042"/>
      </w:pPr>
    </w:p>
    <w:p w14:paraId="621A15A3" w14:textId="0FB4C33E" w:rsidR="00EA6396" w:rsidRDefault="00D673E7" w:rsidP="00C864D9">
      <w:pPr>
        <w:jc w:val="both"/>
        <w:divId w:val="1722637042"/>
      </w:pPr>
      <w:r w:rsidRPr="005E5906">
        <w:t>Data Assessment and Workplan for a Baseline Risk Assessment Supporting Remedial Action at the David Witherspoon, Inc. 901 Site, Knoxville, Tennessee, Bechtel Jacobs Company, LLC, September 2004.</w:t>
      </w:r>
    </w:p>
    <w:p w14:paraId="24B2E26A" w14:textId="77777777" w:rsidR="009E6E72" w:rsidRPr="005E5906" w:rsidRDefault="009E6E72" w:rsidP="00C864D9">
      <w:pPr>
        <w:jc w:val="both"/>
        <w:divId w:val="1722637042"/>
      </w:pPr>
    </w:p>
    <w:p w14:paraId="1DBCF76B" w14:textId="70767278" w:rsidR="00EA6396" w:rsidRDefault="00D673E7" w:rsidP="00C864D9">
      <w:pPr>
        <w:jc w:val="both"/>
        <w:divId w:val="1722637042"/>
      </w:pPr>
      <w:r w:rsidRPr="005E5906">
        <w:lastRenderedPageBreak/>
        <w:t>An Estimation of the Uranium-238 Inventory in Soils at the David Witherspoon, Inc. 901 Site, Knoxville, Tennessee, Bechtel Jacobs Company, LLC, October 2004.</w:t>
      </w:r>
    </w:p>
    <w:p w14:paraId="0B125876" w14:textId="77777777" w:rsidR="00C618E6" w:rsidRPr="005E5906" w:rsidRDefault="00C618E6" w:rsidP="00A52A3F">
      <w:pPr>
        <w:divId w:val="1722637042"/>
      </w:pPr>
    </w:p>
    <w:p w14:paraId="756C783E" w14:textId="77777777" w:rsidR="00EA6396" w:rsidRPr="00C618E6" w:rsidRDefault="00D673E7" w:rsidP="00A52A3F">
      <w:pPr>
        <w:divId w:val="1722637042"/>
        <w:rPr>
          <w:b/>
          <w:bCs/>
        </w:rPr>
      </w:pPr>
      <w:r w:rsidRPr="00C618E6">
        <w:rPr>
          <w:b/>
          <w:bCs/>
        </w:rPr>
        <w:t>Primary Author of the Risk Assessment Portion:</w:t>
      </w:r>
    </w:p>
    <w:p w14:paraId="5D4DE173" w14:textId="2E584818" w:rsidR="00EA6396" w:rsidRDefault="00D673E7" w:rsidP="00C864D9">
      <w:pPr>
        <w:jc w:val="both"/>
        <w:divId w:val="1722637042"/>
      </w:pPr>
      <w:r w:rsidRPr="005E5906">
        <w:t>Draft Comparison of Trichloroethylene (TCE) Concentrations at Area of Concern (AOC) 204 to Human health Risk-Based Concentrations, January 1996.</w:t>
      </w:r>
    </w:p>
    <w:p w14:paraId="0BD29312" w14:textId="77777777" w:rsidR="00EE4BF8" w:rsidRPr="005E5906" w:rsidRDefault="00EE4BF8" w:rsidP="00C864D9">
      <w:pPr>
        <w:jc w:val="both"/>
        <w:divId w:val="1722637042"/>
      </w:pPr>
    </w:p>
    <w:p w14:paraId="0FCEED98" w14:textId="2860BE8E" w:rsidR="00EA6396" w:rsidRDefault="00D673E7" w:rsidP="00C864D9">
      <w:pPr>
        <w:jc w:val="both"/>
        <w:divId w:val="1722637042"/>
      </w:pPr>
      <w:r w:rsidRPr="005E5906">
        <w:t>Resource Conservation and Recovery Act Facility Investigation/Remedial Investigation Report for Waste Area Groupings 1 &amp; 7 at Paducah Gaseous Diffusion Plant, Paducah, Kentucky (DOE/OR/07-1404&amp;D2), April 1996.</w:t>
      </w:r>
    </w:p>
    <w:p w14:paraId="227B1D16" w14:textId="77777777" w:rsidR="00EE4BF8" w:rsidRPr="005E5906" w:rsidRDefault="00EE4BF8" w:rsidP="00C864D9">
      <w:pPr>
        <w:jc w:val="both"/>
        <w:divId w:val="1722637042"/>
      </w:pPr>
    </w:p>
    <w:p w14:paraId="107D9A84" w14:textId="6817A41D" w:rsidR="00EA6396" w:rsidRDefault="00D673E7" w:rsidP="00C864D9">
      <w:pPr>
        <w:jc w:val="both"/>
        <w:divId w:val="1722637042"/>
      </w:pPr>
      <w:r w:rsidRPr="005E5906">
        <w:t>Preliminary Site Characterization/Baseline Risk Assessment/LASAGNATM Technology Demonstration at Solid Waste Management Unit 91 of the Paducah Gaseous Diffusion Plant, Paducah, Kentucky KY/EM-128, May 1996.</w:t>
      </w:r>
    </w:p>
    <w:p w14:paraId="6DFFE58B" w14:textId="77777777" w:rsidR="00EE4BF8" w:rsidRPr="005E5906" w:rsidRDefault="00EE4BF8" w:rsidP="00C864D9">
      <w:pPr>
        <w:jc w:val="both"/>
        <w:divId w:val="1722637042"/>
      </w:pPr>
    </w:p>
    <w:p w14:paraId="3D9D7991" w14:textId="0D15ECC0" w:rsidR="00EA6396" w:rsidRDefault="00D673E7" w:rsidP="00C864D9">
      <w:pPr>
        <w:jc w:val="both"/>
        <w:divId w:val="1722637042"/>
      </w:pPr>
      <w:r w:rsidRPr="005E5906">
        <w:t>Resource Conservation and Recovery Act Facility Investigation/Remedial Investigation Report for Kentucky Ordnance Works Solid Waste Management Units 94, 95, and 157 at Paducah Gaseous Diffusion Plant, Paducah, Kentucky (DOE/OR/07-1405&amp;D2), July 1996.</w:t>
      </w:r>
    </w:p>
    <w:p w14:paraId="1D2840EB" w14:textId="77777777" w:rsidR="00EE4BF8" w:rsidRPr="005E5906" w:rsidRDefault="00EE4BF8" w:rsidP="00C864D9">
      <w:pPr>
        <w:jc w:val="both"/>
        <w:divId w:val="1722637042"/>
      </w:pPr>
    </w:p>
    <w:p w14:paraId="5D4D91AE" w14:textId="2C4F2F92" w:rsidR="00EA6396" w:rsidRDefault="00D673E7" w:rsidP="00C864D9">
      <w:pPr>
        <w:jc w:val="both"/>
        <w:divId w:val="1722637042"/>
      </w:pPr>
      <w:r w:rsidRPr="005E5906">
        <w:t>Integrated Remedial Investigation/Feasibility Study Work Plan for Waste Area Grouping 27 at Paducah Gaseous Diffusion Plant, Paducah Kentucky, DOE/OR/07-1518&amp;D1, November 1996.</w:t>
      </w:r>
    </w:p>
    <w:p w14:paraId="74E0B05A" w14:textId="77777777" w:rsidR="00EE4BF8" w:rsidRPr="005E5906" w:rsidRDefault="00EE4BF8" w:rsidP="00C864D9">
      <w:pPr>
        <w:jc w:val="both"/>
        <w:divId w:val="1722637042"/>
      </w:pPr>
    </w:p>
    <w:p w14:paraId="03DAB088" w14:textId="6ADA755D" w:rsidR="00EA6396" w:rsidRDefault="00D673E7" w:rsidP="00C864D9">
      <w:pPr>
        <w:jc w:val="both"/>
        <w:divId w:val="1722637042"/>
      </w:pPr>
      <w:r w:rsidRPr="005E5906">
        <w:t>Final Site Evaluation Report for WAG 15, C-200-A UST and C-710-B UST Paducah Gaseous Diffusion Plant Paducah, Kentucky. DOE/OR/07-1540&amp;D1, December 1996.</w:t>
      </w:r>
    </w:p>
    <w:p w14:paraId="59D5569D" w14:textId="77777777" w:rsidR="00EE4BF8" w:rsidRPr="005E5906" w:rsidRDefault="00EE4BF8" w:rsidP="00C864D9">
      <w:pPr>
        <w:jc w:val="both"/>
        <w:divId w:val="1722637042"/>
      </w:pPr>
    </w:p>
    <w:p w14:paraId="77B30F98" w14:textId="6868992D" w:rsidR="00EA6396" w:rsidRDefault="00D673E7" w:rsidP="00C864D9">
      <w:pPr>
        <w:jc w:val="both"/>
        <w:divId w:val="1722637042"/>
      </w:pPr>
      <w:r w:rsidRPr="005E5906">
        <w:t>Technical Scoping document RI/FS Work Plan for WAG 28 Including WAG 8 PA/SI at the Paducah Gaseous Diffusion Plant, Paducah, Kentucky. DOE/OR/07-1543&amp;D1, May 1997.</w:t>
      </w:r>
    </w:p>
    <w:p w14:paraId="0FC952E1" w14:textId="77777777" w:rsidR="00EE4BF8" w:rsidRPr="005E5906" w:rsidRDefault="00EE4BF8" w:rsidP="00C864D9">
      <w:pPr>
        <w:jc w:val="both"/>
        <w:divId w:val="1722637042"/>
      </w:pPr>
    </w:p>
    <w:p w14:paraId="2B6A3148" w14:textId="397D3B0F" w:rsidR="00EA6396" w:rsidRDefault="00D673E7" w:rsidP="00C864D9">
      <w:pPr>
        <w:jc w:val="both"/>
        <w:divId w:val="1722637042"/>
      </w:pPr>
      <w:r w:rsidRPr="005E5906">
        <w:t>Remedial Investigation Report for Solid Waste Management Units 7 and 30 of Waste Area Grouping 22 at Paducah Gaseous Diffusion Plant, Paducah, Kentucky, Volume 2, Baseline Risk Assessment, DOE/OR/07-1604/V2&amp;D2, July 1997.</w:t>
      </w:r>
    </w:p>
    <w:p w14:paraId="144F8691" w14:textId="77777777" w:rsidR="00EE4BF8" w:rsidRPr="005E5906" w:rsidRDefault="00EE4BF8" w:rsidP="00C864D9">
      <w:pPr>
        <w:jc w:val="both"/>
        <w:divId w:val="1722637042"/>
      </w:pPr>
    </w:p>
    <w:p w14:paraId="23F162C3" w14:textId="49EA3387" w:rsidR="00EA6396" w:rsidRDefault="00D673E7" w:rsidP="00C864D9">
      <w:pPr>
        <w:jc w:val="both"/>
        <w:divId w:val="1722637042"/>
      </w:pPr>
      <w:r w:rsidRPr="005E5906">
        <w:t>Remedial Investigation Report for the Waste Area Grouping 6 at Paducah Gaseous Diffusion Plant, Paducah, Kentucky, Volume 3, Baseline Risk Assessment, DOE/OR/07-1727/V3&amp;D1, August 1998.</w:t>
      </w:r>
    </w:p>
    <w:p w14:paraId="38C7AD7E" w14:textId="77777777" w:rsidR="00EE4BF8" w:rsidRPr="005E5906" w:rsidRDefault="00EE4BF8" w:rsidP="00C864D9">
      <w:pPr>
        <w:jc w:val="both"/>
        <w:divId w:val="1722637042"/>
      </w:pPr>
    </w:p>
    <w:p w14:paraId="7E6690E1" w14:textId="5F578061" w:rsidR="00EA6396" w:rsidRDefault="00D673E7" w:rsidP="00C864D9">
      <w:pPr>
        <w:jc w:val="both"/>
        <w:divId w:val="1722637042"/>
      </w:pPr>
      <w:r w:rsidRPr="005E5906">
        <w:t>Remedial Investigation Report for Waste Area Grouping 27 at Paducah Gaseous Diffusion Plant, Paducah, Kentucky, Volume 4, Baseline Risk Assessment, DOE/OR/07-1777/V4&amp;D1, December 1998.</w:t>
      </w:r>
    </w:p>
    <w:p w14:paraId="3AE4FFA0" w14:textId="77777777" w:rsidR="00EE4BF8" w:rsidRPr="005E5906" w:rsidRDefault="00EE4BF8" w:rsidP="00C864D9">
      <w:pPr>
        <w:jc w:val="both"/>
        <w:divId w:val="1722637042"/>
      </w:pPr>
    </w:p>
    <w:p w14:paraId="3FD0F0DD" w14:textId="7E2F76A9" w:rsidR="00EA6396" w:rsidRDefault="00D673E7" w:rsidP="00C864D9">
      <w:pPr>
        <w:jc w:val="both"/>
        <w:divId w:val="1722637042"/>
      </w:pPr>
      <w:r w:rsidRPr="005E5906">
        <w:t>Sampling and Analysis Plan Surface Impoundments Operable Unit A and B Post-Remediation Sampling Project, Oak Ridge, Tennessee, BJC/OR-568/R1, June 2000.</w:t>
      </w:r>
    </w:p>
    <w:p w14:paraId="7DE833EB" w14:textId="77777777" w:rsidR="00EE4BF8" w:rsidRPr="005E5906" w:rsidRDefault="00EE4BF8" w:rsidP="00C864D9">
      <w:pPr>
        <w:jc w:val="both"/>
        <w:divId w:val="1722637042"/>
      </w:pPr>
    </w:p>
    <w:p w14:paraId="4DB52221" w14:textId="501CA865" w:rsidR="00EA6396" w:rsidRDefault="00D673E7" w:rsidP="00C864D9">
      <w:pPr>
        <w:jc w:val="both"/>
        <w:divId w:val="1722637042"/>
      </w:pPr>
      <w:r w:rsidRPr="005E5906">
        <w:t>Surface Impoundment Operable Unit A Post-Remediation Sampling Project. Oak Ridge, Tennessee, October 2000.</w:t>
      </w:r>
    </w:p>
    <w:p w14:paraId="7675056D" w14:textId="77777777" w:rsidR="00EE4BF8" w:rsidRPr="005E5906" w:rsidRDefault="00EE4BF8" w:rsidP="00C864D9">
      <w:pPr>
        <w:jc w:val="both"/>
        <w:divId w:val="1722637042"/>
      </w:pPr>
    </w:p>
    <w:p w14:paraId="38EB2FA5" w14:textId="025E2588" w:rsidR="00EA6396" w:rsidRDefault="00D673E7" w:rsidP="00C864D9">
      <w:pPr>
        <w:jc w:val="both"/>
        <w:divId w:val="1722637042"/>
      </w:pPr>
      <w:r w:rsidRPr="005E5906">
        <w:lastRenderedPageBreak/>
        <w:t xml:space="preserve">Surface Impoundment Operable Unit B Post-Remediation Sampling Project. Oak Ridge, Tennessee, September 2003. </w:t>
      </w:r>
    </w:p>
    <w:p w14:paraId="70D27A7E" w14:textId="77777777" w:rsidR="00EE4BF8" w:rsidRPr="005E5906" w:rsidRDefault="00EE4BF8" w:rsidP="00C864D9">
      <w:pPr>
        <w:jc w:val="both"/>
        <w:divId w:val="1722637042"/>
      </w:pPr>
    </w:p>
    <w:p w14:paraId="318F96BF" w14:textId="3C5FB56D" w:rsidR="00EA6396" w:rsidRDefault="00D673E7" w:rsidP="00C864D9">
      <w:pPr>
        <w:jc w:val="both"/>
        <w:divId w:val="1722637042"/>
      </w:pPr>
      <w:r w:rsidRPr="005E5906">
        <w:t xml:space="preserve">Sampling and Analysis Plan for Final Verification of the David Witherspoon, Inc. 901 Site Knoxville, Tennessee, June 2005. </w:t>
      </w:r>
    </w:p>
    <w:p w14:paraId="2E1F94CA" w14:textId="77777777" w:rsidR="009958F5" w:rsidRDefault="009958F5" w:rsidP="00C864D9">
      <w:pPr>
        <w:jc w:val="both"/>
        <w:divId w:val="1722637042"/>
      </w:pPr>
    </w:p>
    <w:p w14:paraId="51D6657C" w14:textId="6BA01D6F" w:rsidR="009958F5" w:rsidRDefault="009958F5" w:rsidP="00C864D9">
      <w:pPr>
        <w:jc w:val="both"/>
        <w:divId w:val="1722637042"/>
      </w:pPr>
      <w:r w:rsidRPr="009958F5">
        <w:t>Development of Fish Tissue and Surface Water Preliminary Remediation Goals for Radionuclides of Interest for the Proposed Environmental Management Disposal Facility, Oak Ridge, Tennessee</w:t>
      </w:r>
      <w:r w:rsidR="00F5609F">
        <w:t xml:space="preserve">. </w:t>
      </w:r>
      <w:r w:rsidR="00F5609F" w:rsidRPr="00F5609F">
        <w:t>UCOR-5550</w:t>
      </w:r>
      <w:r w:rsidR="00F5609F">
        <w:t xml:space="preserve">. </w:t>
      </w:r>
      <w:r w:rsidR="004456AE">
        <w:t>April 2022.</w:t>
      </w:r>
    </w:p>
    <w:p w14:paraId="3EBFED84" w14:textId="77777777" w:rsidR="002609DD" w:rsidRPr="005E5906" w:rsidRDefault="002609DD" w:rsidP="00A52A3F">
      <w:pPr>
        <w:divId w:val="1722637042"/>
      </w:pPr>
    </w:p>
    <w:p w14:paraId="6C96F400" w14:textId="77777777" w:rsidR="00EA6396" w:rsidRPr="002609DD" w:rsidRDefault="00D673E7" w:rsidP="00A52A3F">
      <w:pPr>
        <w:divId w:val="1722637042"/>
        <w:rPr>
          <w:b/>
          <w:bCs/>
        </w:rPr>
      </w:pPr>
      <w:r w:rsidRPr="002609DD">
        <w:rPr>
          <w:b/>
          <w:bCs/>
        </w:rPr>
        <w:t>Contributing Author or Coauthor:</w:t>
      </w:r>
    </w:p>
    <w:p w14:paraId="761BA34D" w14:textId="55B2146F" w:rsidR="00EA6396" w:rsidRDefault="00D673E7" w:rsidP="00C864D9">
      <w:pPr>
        <w:jc w:val="both"/>
        <w:divId w:val="1722637042"/>
      </w:pPr>
      <w:r w:rsidRPr="005E5906">
        <w:t>Comparison of Soil Surrounding the C-750-C Waste Oil Underground Storage Tank to Preliminary Remediation Goals, KY/ER-52, February 1994.</w:t>
      </w:r>
    </w:p>
    <w:p w14:paraId="2BC6BD05" w14:textId="77777777" w:rsidR="00EE4BF8" w:rsidRPr="005E5906" w:rsidRDefault="00EE4BF8" w:rsidP="00C864D9">
      <w:pPr>
        <w:jc w:val="both"/>
        <w:divId w:val="1722637042"/>
      </w:pPr>
    </w:p>
    <w:p w14:paraId="1D54B231" w14:textId="024E225E" w:rsidR="00EA6396" w:rsidRDefault="00D673E7" w:rsidP="00C864D9">
      <w:pPr>
        <w:jc w:val="both"/>
        <w:divId w:val="1722637042"/>
      </w:pPr>
      <w:r w:rsidRPr="005E5906">
        <w:t>Exposure Assessment Models for Estimating Contaminant Concentrations in Human Foods for Use at the U.S. Department of Energy Oak Ridge Operations Office, September 1995.</w:t>
      </w:r>
    </w:p>
    <w:p w14:paraId="0A891072" w14:textId="77777777" w:rsidR="00EE4BF8" w:rsidRPr="005E5906" w:rsidRDefault="00EE4BF8" w:rsidP="00C864D9">
      <w:pPr>
        <w:jc w:val="both"/>
        <w:divId w:val="1722637042"/>
      </w:pPr>
    </w:p>
    <w:p w14:paraId="5544C6F5" w14:textId="4748A3E8" w:rsidR="00EA6396" w:rsidRDefault="00D673E7" w:rsidP="00C864D9">
      <w:pPr>
        <w:jc w:val="both"/>
        <w:divId w:val="1722637042"/>
      </w:pPr>
      <w:r w:rsidRPr="005E5906">
        <w:t>Baseline Ecological Risk Assessment, Portsmouth Gaseous Diffusion Plant, Piketon, Ohio D2, DOE/OR/11-1316/D2, June 1996.</w:t>
      </w:r>
    </w:p>
    <w:p w14:paraId="48C4D87C" w14:textId="77777777" w:rsidR="00EE4BF8" w:rsidRPr="005E5906" w:rsidRDefault="00EE4BF8" w:rsidP="00C864D9">
      <w:pPr>
        <w:jc w:val="both"/>
        <w:divId w:val="1722637042"/>
      </w:pPr>
    </w:p>
    <w:p w14:paraId="4A9197F2" w14:textId="42B1D61A" w:rsidR="00EA6396" w:rsidRDefault="00D673E7" w:rsidP="00C864D9">
      <w:pPr>
        <w:jc w:val="both"/>
        <w:divId w:val="1722637042"/>
      </w:pPr>
      <w:r w:rsidRPr="005E5906">
        <w:t>Methods for Conducting Human Health Risk Assessments and Risk Evaluations at the PGDP, DOE/OR/07-1506&amp;D1, August 1996.</w:t>
      </w:r>
    </w:p>
    <w:p w14:paraId="3B6F811B" w14:textId="77777777" w:rsidR="00EE4BF8" w:rsidRPr="005E5906" w:rsidRDefault="00EE4BF8" w:rsidP="00C864D9">
      <w:pPr>
        <w:jc w:val="both"/>
        <w:divId w:val="1722637042"/>
      </w:pPr>
    </w:p>
    <w:p w14:paraId="4E7EEAD1" w14:textId="3FB8C499" w:rsidR="00EA6396" w:rsidRDefault="00D673E7" w:rsidP="00C864D9">
      <w:pPr>
        <w:jc w:val="both"/>
        <w:divId w:val="1722637042"/>
      </w:pPr>
      <w:r w:rsidRPr="005E5906">
        <w:t>Background Concentrations and Human Health Risk-based Screening Criteria for Metals in Soil at the Paducah Gaseous Diffusion Plant, Paducah, Kentucky (DOE/OR/07-1417&amp;D2), September 1996.</w:t>
      </w:r>
    </w:p>
    <w:p w14:paraId="2E5AE89E" w14:textId="77777777" w:rsidR="00EE4BF8" w:rsidRPr="005E5906" w:rsidRDefault="00EE4BF8" w:rsidP="00C864D9">
      <w:pPr>
        <w:jc w:val="both"/>
        <w:divId w:val="1722637042"/>
      </w:pPr>
    </w:p>
    <w:p w14:paraId="76032DD6" w14:textId="709AB05D" w:rsidR="00EA6396" w:rsidRDefault="00D673E7" w:rsidP="00C864D9">
      <w:pPr>
        <w:jc w:val="both"/>
        <w:divId w:val="1722637042"/>
      </w:pPr>
      <w:r w:rsidRPr="005E5906">
        <w:t>Resource Conservation and Recovery Act Facility Investigation/Remedial Investigation Report for Waste Area Grouping 17 at Paducah Gaseous Diffusion Plant, Paducah, Kentucky, DOE/OR/07?1404/V1&amp;D2, April 1997.</w:t>
      </w:r>
    </w:p>
    <w:p w14:paraId="796CDE1C" w14:textId="77777777" w:rsidR="00EE4BF8" w:rsidRPr="005E5906" w:rsidRDefault="00EE4BF8" w:rsidP="00C864D9">
      <w:pPr>
        <w:jc w:val="both"/>
        <w:divId w:val="1722637042"/>
      </w:pPr>
    </w:p>
    <w:p w14:paraId="730269BE" w14:textId="6091E1F7" w:rsidR="00EA6396" w:rsidRDefault="00D673E7" w:rsidP="00C864D9">
      <w:pPr>
        <w:jc w:val="both"/>
        <w:divId w:val="1722637042"/>
      </w:pPr>
      <w:r w:rsidRPr="005E5906">
        <w:t>Integrated Remedial Investigation/Feasibility Study Work Plan for Waste Area Grouping 6 at Paducah Gaseous Diffusion Plant, Paducah Kentucky, DOE/OR/07-1243 version D4, January 1997.</w:t>
      </w:r>
    </w:p>
    <w:p w14:paraId="57969C11" w14:textId="77777777" w:rsidR="00EE4BF8" w:rsidRPr="005E5906" w:rsidRDefault="00EE4BF8" w:rsidP="00C864D9">
      <w:pPr>
        <w:jc w:val="both"/>
        <w:divId w:val="1722637042"/>
      </w:pPr>
    </w:p>
    <w:p w14:paraId="3E9F99BB" w14:textId="47EE2220" w:rsidR="00EA6396" w:rsidRDefault="00D673E7" w:rsidP="00C864D9">
      <w:pPr>
        <w:jc w:val="both"/>
        <w:divId w:val="1722637042"/>
      </w:pPr>
      <w:r w:rsidRPr="005E5906">
        <w:t>Excess Lifetime Cancer Risk and Systemic Toxicity Hazard to Excavation Workers by Pit at Solid Waste Management Units 7 and 30 at the Paducah Gaseous Diffusion Plant. KY/EM-231. September 1997.</w:t>
      </w:r>
    </w:p>
    <w:p w14:paraId="159FF953" w14:textId="77777777" w:rsidR="00EE4BF8" w:rsidRPr="005E5906" w:rsidRDefault="00EE4BF8" w:rsidP="00C864D9">
      <w:pPr>
        <w:jc w:val="both"/>
        <w:divId w:val="1722637042"/>
      </w:pPr>
    </w:p>
    <w:p w14:paraId="0BD97095" w14:textId="352C9482" w:rsidR="00EA6396" w:rsidRDefault="00D673E7" w:rsidP="00C864D9">
      <w:pPr>
        <w:jc w:val="both"/>
        <w:divId w:val="1722637042"/>
      </w:pPr>
      <w:r w:rsidRPr="005E5906">
        <w:t>Technetium-99 Transport Modeling Results for Sources at SWMUs 7 and 30 at the Paducah Gaseous Diffusion Plant. KY/EM-266. March 1998.</w:t>
      </w:r>
    </w:p>
    <w:p w14:paraId="0A4A1147" w14:textId="77777777" w:rsidR="00EE4BF8" w:rsidRPr="005E5906" w:rsidRDefault="00EE4BF8" w:rsidP="00C864D9">
      <w:pPr>
        <w:jc w:val="both"/>
        <w:divId w:val="1722637042"/>
      </w:pPr>
    </w:p>
    <w:p w14:paraId="2FC0A8D8" w14:textId="5685804C" w:rsidR="00EA6396" w:rsidRDefault="00D673E7" w:rsidP="00C864D9">
      <w:pPr>
        <w:jc w:val="both"/>
        <w:divId w:val="1722637042"/>
      </w:pPr>
      <w:r w:rsidRPr="005E5906">
        <w:t>Residual Risk Evaluation Report for Waste Area Grouping 23 and Solid Waste Management Unit 1 of Waste Area Grouping 27 at the Paducah Gaseous Diffusion Plant, Paducah, Kentucky. DOE/OR/07?1781&amp;D1. February 1999.</w:t>
      </w:r>
    </w:p>
    <w:p w14:paraId="5A97C397" w14:textId="77777777" w:rsidR="00EE4BF8" w:rsidRPr="005E5906" w:rsidRDefault="00EE4BF8" w:rsidP="00C864D9">
      <w:pPr>
        <w:jc w:val="both"/>
        <w:divId w:val="1722637042"/>
      </w:pPr>
    </w:p>
    <w:p w14:paraId="0D1A4076" w14:textId="0B376BD9" w:rsidR="00EA6396" w:rsidRDefault="00D673E7" w:rsidP="00C864D9">
      <w:pPr>
        <w:jc w:val="both"/>
        <w:divId w:val="1722637042"/>
      </w:pPr>
      <w:r w:rsidRPr="005E5906">
        <w:lastRenderedPageBreak/>
        <w:t>Determination of Threshold Screening Values for Post-Remediation Activities at Surface Impoundments Operable Unit A and B at the Oak Ridge National Laboratory, Oak Ridge, Tennessee, BJC/OR-558, March 2000.</w:t>
      </w:r>
    </w:p>
    <w:p w14:paraId="68311E33" w14:textId="77777777" w:rsidR="00EE4BF8" w:rsidRPr="005E5906" w:rsidRDefault="00EE4BF8" w:rsidP="00C864D9">
      <w:pPr>
        <w:jc w:val="both"/>
        <w:divId w:val="1722637042"/>
      </w:pPr>
    </w:p>
    <w:p w14:paraId="4327A81D" w14:textId="3F607779" w:rsidR="00EA6396" w:rsidRDefault="00D673E7" w:rsidP="00C864D9">
      <w:pPr>
        <w:jc w:val="both"/>
        <w:divId w:val="1722637042"/>
      </w:pPr>
      <w:r w:rsidRPr="005E5906">
        <w:t xml:space="preserve">Determination of Background Concentrations for Metals and Naturally-Occurring Radioactive Materials in Soil at the Mary Vestal Park, Knoxville, Tennessee for the Remedial Investigation / Remedial Actions at the David Witherspoon, Inc. 901 Site, Knoxville, Tennessee, Bechtel Jacobs Company, LLC, June 2004. </w:t>
      </w:r>
    </w:p>
    <w:p w14:paraId="72D43AD7" w14:textId="77777777" w:rsidR="00EE4BF8" w:rsidRPr="005E5906" w:rsidRDefault="00EE4BF8" w:rsidP="00C864D9">
      <w:pPr>
        <w:jc w:val="both"/>
        <w:divId w:val="1722637042"/>
      </w:pPr>
    </w:p>
    <w:p w14:paraId="636931AE" w14:textId="52E23ACC" w:rsidR="00EA6396" w:rsidRDefault="00D673E7" w:rsidP="00C864D9">
      <w:pPr>
        <w:jc w:val="both"/>
        <w:divId w:val="1722637042"/>
      </w:pPr>
      <w:r w:rsidRPr="005E5906">
        <w:t>Reevaluation of 1999 Health-Based Environmental Screening Levels (HBESLs) for Chemical Warfare Agents. Oak Ridge National Laboratory. ORNL/TM-2007/080. May 2007. A. P. Watson and F. G. Dolislager.</w:t>
      </w:r>
    </w:p>
    <w:p w14:paraId="4BF68524" w14:textId="77777777" w:rsidR="00EE4BF8" w:rsidRPr="005E5906" w:rsidRDefault="00EE4BF8" w:rsidP="00C864D9">
      <w:pPr>
        <w:jc w:val="both"/>
        <w:divId w:val="1722637042"/>
      </w:pPr>
    </w:p>
    <w:p w14:paraId="55A3D58C" w14:textId="4B5E9889" w:rsidR="00EA6396" w:rsidRDefault="004456AE" w:rsidP="00C864D9">
      <w:pPr>
        <w:jc w:val="both"/>
        <w:divId w:val="1722637042"/>
      </w:pPr>
      <w:hyperlink r:id="rId31" w:history="1">
        <w:r w:rsidR="00D673E7" w:rsidRPr="005E5906">
          <w:rPr>
            <w:rStyle w:val="Hyperlink"/>
            <w:rFonts w:ascii="Helvetica" w:hAnsi="Helvetica" w:cs="Helvetica"/>
            <w:sz w:val="22"/>
            <w:szCs w:val="22"/>
          </w:rPr>
          <w:t>Developing Health-Based Pre-planning Clearance Goals for Airport Remediation Following Chemical Terrorist Attack: Introduction and Key Assessment Considerations.</w:t>
        </w:r>
      </w:hyperlink>
      <w:r w:rsidR="00D673E7" w:rsidRPr="005E5906">
        <w:t xml:space="preserve"> Annetta Watson, Linda Hall, Ellen Raber, Veronique D. Hauschild, Fredrick Dolislager, Adam H. Love, and M. Leslie Hanna. Journal of Human and Ecological Risk Assessment (vol 17, No. 1).</w:t>
      </w:r>
    </w:p>
    <w:p w14:paraId="070E8D2D" w14:textId="77777777" w:rsidR="00EE4BF8" w:rsidRPr="005E5906" w:rsidRDefault="00EE4BF8" w:rsidP="00C864D9">
      <w:pPr>
        <w:jc w:val="both"/>
        <w:divId w:val="1722637042"/>
      </w:pPr>
    </w:p>
    <w:p w14:paraId="094446F0" w14:textId="544A9CD0" w:rsidR="00EA6396" w:rsidRDefault="004456AE" w:rsidP="00C864D9">
      <w:pPr>
        <w:jc w:val="both"/>
        <w:divId w:val="1722637042"/>
      </w:pPr>
      <w:hyperlink r:id="rId32" w:history="1">
        <w:r w:rsidR="00D673E7" w:rsidRPr="005E5906">
          <w:rPr>
            <w:rStyle w:val="Hyperlink"/>
            <w:rFonts w:ascii="Helvetica" w:hAnsi="Helvetica" w:cs="Helvetica"/>
            <w:sz w:val="22"/>
            <w:szCs w:val="22"/>
          </w:rPr>
          <w:t>Developing Health-Based Pre-planning Clearance Goals for Airport Remediation Following a Chemical Terrorist Attack: Decision Criteria for Multipathway Exposure Routes.</w:t>
        </w:r>
      </w:hyperlink>
      <w:r w:rsidR="00D673E7" w:rsidRPr="005E5906">
        <w:t xml:space="preserve"> Annetta Watson, Fredrick Dolislager, Linda Hall, Ellen Raber, Veronique D. Hauschild, and Adam H. Love. Journal of Human and Ecological Risk Assessment (vol 17, No. 1). </w:t>
      </w:r>
    </w:p>
    <w:p w14:paraId="4D6EAA82" w14:textId="77777777" w:rsidR="00EE4BF8" w:rsidRPr="005E5906" w:rsidRDefault="00EE4BF8" w:rsidP="00C864D9">
      <w:pPr>
        <w:jc w:val="both"/>
        <w:divId w:val="1722637042"/>
      </w:pPr>
    </w:p>
    <w:p w14:paraId="217D22E7" w14:textId="77777777" w:rsidR="00197631" w:rsidRDefault="00D673E7" w:rsidP="00197631">
      <w:pPr>
        <w:jc w:val="both"/>
        <w:divId w:val="1722637042"/>
      </w:pPr>
      <w:r w:rsidRPr="005E5906">
        <w:t xml:space="preserve">Area Correction Factors for Contaminated Soil for Use in Risk and Dose Assessment Models. Oak Ridge National Laboratory, </w:t>
      </w:r>
      <w:hyperlink r:id="rId33" w:history="1">
        <w:r w:rsidRPr="005E5906">
          <w:rPr>
            <w:rStyle w:val="Hyperlink"/>
            <w:rFonts w:ascii="Helvetica" w:hAnsi="Helvetica" w:cs="Helvetica"/>
            <w:sz w:val="22"/>
            <w:szCs w:val="22"/>
          </w:rPr>
          <w:t>ORNL/TM-2013/00</w:t>
        </w:r>
      </w:hyperlink>
      <w:r w:rsidRPr="005E5906">
        <w:t xml:space="preserve">. </w:t>
      </w:r>
      <w:r w:rsidR="00197631" w:rsidRPr="005E5906">
        <w:t>Oak Ridge National Laboratory. Center for Radiation Protection Knowledge. September 2014</w:t>
      </w:r>
      <w:r w:rsidR="00197631">
        <w:t>.</w:t>
      </w:r>
    </w:p>
    <w:p w14:paraId="1841D3CF" w14:textId="58B0B06A" w:rsidR="00EE4BF8" w:rsidRPr="005E5906" w:rsidRDefault="00EE4BF8" w:rsidP="00197631">
      <w:pPr>
        <w:jc w:val="both"/>
        <w:divId w:val="1722637042"/>
      </w:pPr>
    </w:p>
    <w:p w14:paraId="1AD80046" w14:textId="0D5FC9F9" w:rsidR="00EA6396" w:rsidRDefault="00D673E7" w:rsidP="00C864D9">
      <w:pPr>
        <w:jc w:val="both"/>
        <w:divId w:val="1722637042"/>
      </w:pPr>
      <w:r w:rsidRPr="005E5906">
        <w:t xml:space="preserve">Gamma Shielding Factors for Soil Covered Contamination for Use in Risk and Dose Assessment Models. </w:t>
      </w:r>
      <w:hyperlink r:id="rId34" w:history="1">
        <w:r w:rsidRPr="005E5906">
          <w:rPr>
            <w:rStyle w:val="Hyperlink"/>
            <w:rFonts w:ascii="Helvetica" w:hAnsi="Helvetica" w:cs="Helvetica"/>
            <w:sz w:val="22"/>
            <w:szCs w:val="22"/>
          </w:rPr>
          <w:t>ORNL/TM-2013/00</w:t>
        </w:r>
      </w:hyperlink>
      <w:r w:rsidRPr="005E5906">
        <w:t xml:space="preserve">. </w:t>
      </w:r>
      <w:r w:rsidR="000A55C8" w:rsidRPr="005E5906">
        <w:t>Oak Ridge National Laboratory. Center for Radiation Protection Knowledge.</w:t>
      </w:r>
      <w:r w:rsidRPr="005E5906">
        <w:t xml:space="preserve"> September 2014</w:t>
      </w:r>
      <w:r w:rsidR="00EE4BF8">
        <w:t>.</w:t>
      </w:r>
    </w:p>
    <w:p w14:paraId="2ED3FD18" w14:textId="77777777" w:rsidR="00EE4BF8" w:rsidRPr="005E5906" w:rsidRDefault="00EE4BF8" w:rsidP="00C864D9">
      <w:pPr>
        <w:jc w:val="both"/>
        <w:divId w:val="1722637042"/>
      </w:pPr>
    </w:p>
    <w:p w14:paraId="6B8F2EBB" w14:textId="6AC3A8CD" w:rsidR="00EA6396" w:rsidRDefault="00D673E7" w:rsidP="00C864D9">
      <w:pPr>
        <w:jc w:val="both"/>
        <w:divId w:val="1722637042"/>
      </w:pPr>
      <w:r w:rsidRPr="005E5906">
        <w:t xml:space="preserve">Calculation of Slope Factors and Dose Coefficients. </w:t>
      </w:r>
      <w:hyperlink r:id="rId35" w:history="1">
        <w:r w:rsidR="002A4820" w:rsidRPr="005E5906">
          <w:rPr>
            <w:rStyle w:val="Hyperlink"/>
            <w:rFonts w:ascii="Helvetica" w:hAnsi="Helvetica" w:cs="Helvetica"/>
            <w:sz w:val="22"/>
            <w:szCs w:val="22"/>
          </w:rPr>
          <w:t>ORNL/TM-2013/00</w:t>
        </w:r>
      </w:hyperlink>
      <w:r w:rsidR="002A4820" w:rsidRPr="005E5906">
        <w:t xml:space="preserve">. </w:t>
      </w:r>
      <w:r w:rsidR="00701B57" w:rsidRPr="005E5906">
        <w:t>Oak Ridge National Laboratory. Center for Radiation Protection Knowledge.</w:t>
      </w:r>
      <w:r w:rsidRPr="005E5906">
        <w:t xml:space="preserve"> ORNL/TM-2013/00. September 2014</w:t>
      </w:r>
      <w:r w:rsidR="00EE4BF8">
        <w:t>.</w:t>
      </w:r>
    </w:p>
    <w:p w14:paraId="6F2FA03A" w14:textId="77777777" w:rsidR="00EE4BF8" w:rsidRPr="005E5906" w:rsidRDefault="00EE4BF8" w:rsidP="00C864D9">
      <w:pPr>
        <w:jc w:val="both"/>
        <w:divId w:val="1722637042"/>
      </w:pPr>
    </w:p>
    <w:p w14:paraId="6F00A9B3" w14:textId="1122D685" w:rsidR="00EA6396" w:rsidRDefault="00D673E7" w:rsidP="00C864D9">
      <w:pPr>
        <w:jc w:val="both"/>
        <w:divId w:val="1722637042"/>
      </w:pPr>
      <w:r w:rsidRPr="005E5906">
        <w:t xml:space="preserve">Biota Modeling in EPA's Preliminary Remediation Goal and Dose Compliance Concentration Calculators for Use in EPA Superfund Risk Assessment: Explanation of Intake Rate Derivation, Transfer Factor Compilation, and Mass Loading Factor Sources. </w:t>
      </w:r>
      <w:hyperlink r:id="rId36" w:history="1">
        <w:r w:rsidR="006F338A" w:rsidRPr="005E5906">
          <w:rPr>
            <w:rStyle w:val="Hyperlink"/>
            <w:rFonts w:ascii="Helvetica" w:hAnsi="Helvetica" w:cs="Helvetica"/>
            <w:sz w:val="22"/>
            <w:szCs w:val="22"/>
          </w:rPr>
          <w:t>ORNL/TM-2016/328</w:t>
        </w:r>
      </w:hyperlink>
      <w:r w:rsidR="006F338A" w:rsidRPr="005E5906">
        <w:t xml:space="preserve">. </w:t>
      </w:r>
      <w:r w:rsidR="003A43B0" w:rsidRPr="005E5906">
        <w:t>Oak Ridge National Laboratory. Center for Radiation Protection Knowledge.</w:t>
      </w:r>
      <w:r w:rsidRPr="005E5906">
        <w:t xml:space="preserve"> November 2016. </w:t>
      </w:r>
    </w:p>
    <w:p w14:paraId="008C7321" w14:textId="77777777" w:rsidR="00EE4BF8" w:rsidRPr="005E5906" w:rsidRDefault="00EE4BF8" w:rsidP="00C864D9">
      <w:pPr>
        <w:jc w:val="both"/>
        <w:divId w:val="1722637042"/>
      </w:pPr>
    </w:p>
    <w:p w14:paraId="077B3C48" w14:textId="27295F0E" w:rsidR="00EA6396" w:rsidRDefault="00D673E7" w:rsidP="00C864D9">
      <w:pPr>
        <w:jc w:val="both"/>
        <w:divId w:val="1722637042"/>
      </w:pPr>
      <w:r w:rsidRPr="005E5906">
        <w:t>Phased Construction Completion Report for Remediation of the Zone 1 Powerhouse Duct Bank, Oak Ridge, Tennessee. Prepared for the U.S. Department of Energy Office of Environmental Management. DOE/OR/01-2736&amp;D1. November 2017.</w:t>
      </w:r>
    </w:p>
    <w:p w14:paraId="79305A0D" w14:textId="77777777" w:rsidR="00EE4BF8" w:rsidRPr="005E5906" w:rsidRDefault="00EE4BF8" w:rsidP="00C864D9">
      <w:pPr>
        <w:jc w:val="both"/>
        <w:divId w:val="1722637042"/>
      </w:pPr>
    </w:p>
    <w:p w14:paraId="5C63E000" w14:textId="4EFB9261" w:rsidR="00C93491" w:rsidRDefault="00C93491" w:rsidP="00C864D9">
      <w:pPr>
        <w:jc w:val="both"/>
        <w:divId w:val="1722637042"/>
      </w:pPr>
      <w:r w:rsidRPr="005E5906">
        <w:t xml:space="preserve">Air Exchange Rate Impact on Actinon, Thoron, and Radon Activity Equilibrium Factor and Fractional Equilibrium Factor Determination for Use in Vapor Intrusion Risk and Dose Models. </w:t>
      </w:r>
      <w:hyperlink r:id="rId37" w:history="1">
        <w:r w:rsidR="00C669CE" w:rsidRPr="005E5906">
          <w:rPr>
            <w:rStyle w:val="Hyperlink"/>
            <w:rFonts w:ascii="Helvetica" w:hAnsi="Helvetica" w:cs="Helvetica"/>
            <w:sz w:val="22"/>
            <w:szCs w:val="22"/>
          </w:rPr>
          <w:t>ORNL/TM</w:t>
        </w:r>
        <w:r w:rsidR="006F338A" w:rsidRPr="005E5906">
          <w:rPr>
            <w:rStyle w:val="Hyperlink"/>
            <w:rFonts w:ascii="Helvetica" w:hAnsi="Helvetica" w:cs="Helvetica"/>
            <w:sz w:val="22"/>
            <w:szCs w:val="22"/>
          </w:rPr>
          <w:t>-2019/1269 R1</w:t>
        </w:r>
      </w:hyperlink>
      <w:r w:rsidR="006F338A" w:rsidRPr="005E5906">
        <w:t xml:space="preserve">. </w:t>
      </w:r>
      <w:r w:rsidR="003A43B0" w:rsidRPr="005E5906">
        <w:t xml:space="preserve">Oak Ridge National Laboratory. Center for Radiation Protection Knowledge. </w:t>
      </w:r>
      <w:r w:rsidRPr="005E5906">
        <w:t>September 2020.</w:t>
      </w:r>
    </w:p>
    <w:p w14:paraId="242B79D1" w14:textId="77777777" w:rsidR="00EE4BF8" w:rsidRPr="005E5906" w:rsidRDefault="00EE4BF8" w:rsidP="00C864D9">
      <w:pPr>
        <w:jc w:val="both"/>
        <w:divId w:val="1722637042"/>
      </w:pPr>
    </w:p>
    <w:p w14:paraId="1BD93BCA" w14:textId="32ED13F4" w:rsidR="001C4FB1" w:rsidRDefault="001C4FB1" w:rsidP="00C864D9">
      <w:pPr>
        <w:jc w:val="both"/>
        <w:divId w:val="1722637042"/>
      </w:pPr>
      <w:r w:rsidRPr="005E5906">
        <w:t>Bateman Equation Adaptation for Solving and Integrating Peak Activity into EPA ELCR and Dose Models</w:t>
      </w:r>
      <w:r w:rsidR="00180ACA" w:rsidRPr="005E5906">
        <w:t xml:space="preserve">. </w:t>
      </w:r>
      <w:hyperlink r:id="rId38" w:history="1">
        <w:r w:rsidR="00180ACA" w:rsidRPr="005E5906">
          <w:rPr>
            <w:rStyle w:val="Hyperlink"/>
            <w:rFonts w:ascii="Helvetica" w:hAnsi="Helvetica" w:cs="Helvetica"/>
            <w:sz w:val="22"/>
            <w:szCs w:val="22"/>
          </w:rPr>
          <w:t>ORNL/TM-2020/1780</w:t>
        </w:r>
      </w:hyperlink>
      <w:r w:rsidR="00180ACA" w:rsidRPr="005E5906">
        <w:t xml:space="preserve">. </w:t>
      </w:r>
      <w:r w:rsidR="00DF2440" w:rsidRPr="005E5906">
        <w:t>Oak Ridge National Laboratory.</w:t>
      </w:r>
      <w:r w:rsidR="0051455D" w:rsidRPr="005E5906">
        <w:t xml:space="preserve"> Center for Radiation Protection Knowledge.</w:t>
      </w:r>
      <w:r w:rsidR="00DF2440" w:rsidRPr="005E5906">
        <w:t xml:space="preserve"> </w:t>
      </w:r>
      <w:r w:rsidR="00180ACA" w:rsidRPr="005E5906">
        <w:t>October 2020.</w:t>
      </w:r>
    </w:p>
    <w:p w14:paraId="4C2346FD" w14:textId="77777777" w:rsidR="00EE4BF8" w:rsidRPr="005E5906" w:rsidRDefault="00EE4BF8" w:rsidP="00C864D9">
      <w:pPr>
        <w:jc w:val="both"/>
        <w:divId w:val="1722637042"/>
      </w:pPr>
    </w:p>
    <w:p w14:paraId="5FAFB998" w14:textId="07964039" w:rsidR="001A6A46" w:rsidRDefault="00C93491" w:rsidP="00C864D9">
      <w:pPr>
        <w:jc w:val="both"/>
        <w:divId w:val="1722637042"/>
      </w:pPr>
      <w:r w:rsidRPr="005E5906">
        <w:t xml:space="preserve"> Biota Modeling in EPA's Preliminary Remediation Goal and Dose Compliance Concentration Calculators for Use in EPA Superfund Risk Assessment: Explanation of Intake Rate Derivation, Transfer Factor Compilation, and Mass Loading Factor Sources: 2021 Revision.</w:t>
      </w:r>
      <w:r w:rsidR="002E1361" w:rsidRPr="005E5906">
        <w:t xml:space="preserve"> </w:t>
      </w:r>
      <w:hyperlink r:id="rId39" w:history="1">
        <w:r w:rsidR="002E1361" w:rsidRPr="005E5906">
          <w:rPr>
            <w:rStyle w:val="Hyperlink"/>
            <w:rFonts w:ascii="Helvetica" w:hAnsi="Helvetica" w:cs="Helvetica"/>
            <w:sz w:val="22"/>
            <w:szCs w:val="22"/>
          </w:rPr>
          <w:t>ORNL</w:t>
        </w:r>
        <w:r w:rsidR="0027710A" w:rsidRPr="005E5906">
          <w:rPr>
            <w:rStyle w:val="Hyperlink"/>
            <w:rFonts w:ascii="Helvetica" w:hAnsi="Helvetica" w:cs="Helvetica"/>
            <w:sz w:val="22"/>
            <w:szCs w:val="22"/>
          </w:rPr>
          <w:t>/TM-2016/328-R1</w:t>
        </w:r>
      </w:hyperlink>
      <w:r w:rsidR="0027710A" w:rsidRPr="005E5906">
        <w:t>.</w:t>
      </w:r>
      <w:r w:rsidRPr="005E5906">
        <w:t xml:space="preserve"> </w:t>
      </w:r>
      <w:r w:rsidR="003A43B0" w:rsidRPr="005E5906">
        <w:t>Oak Ridge National Laboratory. Center for Radiation Protection Knowledge.</w:t>
      </w:r>
      <w:r w:rsidRPr="005E5906">
        <w:t xml:space="preserve"> June 2021.</w:t>
      </w:r>
    </w:p>
    <w:p w14:paraId="2A2A85E7" w14:textId="77777777" w:rsidR="002609DD" w:rsidRPr="005E5906" w:rsidRDefault="002609DD" w:rsidP="00A52A3F">
      <w:pPr>
        <w:divId w:val="1722637042"/>
      </w:pPr>
    </w:p>
    <w:p w14:paraId="1DC43A33" w14:textId="54FD951F" w:rsidR="00EA6396" w:rsidRPr="002609DD" w:rsidRDefault="00D673E7" w:rsidP="00A52A3F">
      <w:pPr>
        <w:divId w:val="1722637042"/>
        <w:rPr>
          <w:b/>
          <w:bCs/>
        </w:rPr>
      </w:pPr>
      <w:r w:rsidRPr="002609DD">
        <w:rPr>
          <w:b/>
          <w:bCs/>
        </w:rPr>
        <w:t>Websites</w:t>
      </w:r>
      <w:r w:rsidR="00103D36">
        <w:rPr>
          <w:b/>
          <w:bCs/>
        </w:rPr>
        <w:t xml:space="preserve"> Managed</w:t>
      </w:r>
      <w:r w:rsidRPr="002609DD">
        <w:rPr>
          <w:b/>
          <w:bCs/>
        </w:rPr>
        <w:t>:</w:t>
      </w:r>
    </w:p>
    <w:p w14:paraId="0BF9782B" w14:textId="6860F252" w:rsidR="00EA6396" w:rsidRDefault="004456AE" w:rsidP="00A52A3F">
      <w:pPr>
        <w:divId w:val="1722637042"/>
      </w:pPr>
      <w:hyperlink r:id="rId40" w:history="1">
        <w:r w:rsidR="00D673E7" w:rsidRPr="005E5906">
          <w:rPr>
            <w:rStyle w:val="Hyperlink"/>
            <w:rFonts w:ascii="Helvetica" w:hAnsi="Helvetica" w:cs="Helvetica"/>
            <w:sz w:val="22"/>
            <w:szCs w:val="22"/>
          </w:rPr>
          <w:t>The Risk Assessment Information System</w:t>
        </w:r>
      </w:hyperlink>
      <w:r w:rsidR="00D673E7" w:rsidRPr="005E5906">
        <w:t xml:space="preserve">. Oak Ridge National Laboratory. (Live since 1998) </w:t>
      </w:r>
    </w:p>
    <w:p w14:paraId="6A3D229B" w14:textId="77777777" w:rsidR="009E6E72" w:rsidRPr="005E5906" w:rsidRDefault="009E6E72" w:rsidP="00A52A3F">
      <w:pPr>
        <w:divId w:val="1722637042"/>
      </w:pPr>
    </w:p>
    <w:p w14:paraId="7C83C197" w14:textId="466586F3" w:rsidR="00EA6396" w:rsidRDefault="004456AE" w:rsidP="00A52A3F">
      <w:pPr>
        <w:divId w:val="1722637042"/>
      </w:pPr>
      <w:hyperlink r:id="rId41" w:history="1">
        <w:r w:rsidR="00D673E7" w:rsidRPr="005E5906">
          <w:rPr>
            <w:rStyle w:val="Hyperlink"/>
            <w:rFonts w:ascii="Helvetica" w:hAnsi="Helvetica" w:cs="Helvetica"/>
            <w:sz w:val="22"/>
            <w:szCs w:val="22"/>
          </w:rPr>
          <w:t>Regional Screening Levels for Chemical Contaminants at Superfund Sites (RSLs).</w:t>
        </w:r>
      </w:hyperlink>
      <w:r w:rsidR="00D673E7" w:rsidRPr="005E5906">
        <w:t xml:space="preserve"> U.S. Environmental Protection Agency, (Live since 2008)</w:t>
      </w:r>
    </w:p>
    <w:p w14:paraId="3FF6EEAC" w14:textId="77777777" w:rsidR="009E6E72" w:rsidRPr="005E5906" w:rsidRDefault="009E6E72" w:rsidP="00A52A3F">
      <w:pPr>
        <w:divId w:val="1722637042"/>
      </w:pPr>
    </w:p>
    <w:p w14:paraId="65A6B1FE" w14:textId="7F2F0084" w:rsidR="00EA6396" w:rsidRDefault="004456AE" w:rsidP="00A52A3F">
      <w:pPr>
        <w:divId w:val="1722637042"/>
      </w:pPr>
      <w:hyperlink r:id="rId42" w:history="1">
        <w:r w:rsidR="00D673E7" w:rsidRPr="005E5906">
          <w:rPr>
            <w:rStyle w:val="Hyperlink"/>
            <w:rFonts w:ascii="Helvetica" w:hAnsi="Helvetica" w:cs="Helvetica"/>
            <w:sz w:val="22"/>
            <w:szCs w:val="22"/>
          </w:rPr>
          <w:t>Regional Removal Management Levels for Chemicals (RMLs)</w:t>
        </w:r>
      </w:hyperlink>
      <w:r w:rsidR="00D673E7" w:rsidRPr="005E5906">
        <w:t xml:space="preserve"> U.S. Environmental Protection Agency, (Live since 2012)</w:t>
      </w:r>
    </w:p>
    <w:p w14:paraId="4933C575" w14:textId="77777777" w:rsidR="009E6E72" w:rsidRPr="005E5906" w:rsidRDefault="009E6E72" w:rsidP="00A52A3F">
      <w:pPr>
        <w:divId w:val="1722637042"/>
      </w:pPr>
    </w:p>
    <w:p w14:paraId="47074C18" w14:textId="622AFCEF" w:rsidR="00EA6396" w:rsidRDefault="004456AE" w:rsidP="00A52A3F">
      <w:pPr>
        <w:divId w:val="1722637042"/>
      </w:pPr>
      <w:hyperlink r:id="rId43" w:history="1">
        <w:r w:rsidR="00D673E7" w:rsidRPr="005E5906">
          <w:rPr>
            <w:rStyle w:val="Hyperlink"/>
            <w:rFonts w:ascii="Helvetica" w:hAnsi="Helvetica" w:cs="Helvetica"/>
            <w:sz w:val="22"/>
            <w:szCs w:val="22"/>
          </w:rPr>
          <w:t>Vapor Intrusion Screening Levels for Chemicals (VISL).</w:t>
        </w:r>
      </w:hyperlink>
      <w:r w:rsidR="00D673E7" w:rsidRPr="005E5906">
        <w:t xml:space="preserve"> U.S. Environmental Protection Agency. (Live since 2018)</w:t>
      </w:r>
    </w:p>
    <w:p w14:paraId="26363817" w14:textId="77777777" w:rsidR="009E6E72" w:rsidRPr="005E5906" w:rsidRDefault="009E6E72" w:rsidP="00A52A3F">
      <w:pPr>
        <w:divId w:val="1722637042"/>
      </w:pPr>
    </w:p>
    <w:p w14:paraId="7DFF00FE" w14:textId="091286FA" w:rsidR="00EA6396" w:rsidRDefault="004456AE" w:rsidP="00A52A3F">
      <w:pPr>
        <w:divId w:val="1722637042"/>
      </w:pPr>
      <w:hyperlink r:id="rId44" w:history="1">
        <w:r w:rsidR="00D673E7" w:rsidRPr="005E5906">
          <w:rPr>
            <w:rStyle w:val="Hyperlink"/>
            <w:rFonts w:ascii="Helvetica" w:hAnsi="Helvetica" w:cs="Helvetica"/>
            <w:sz w:val="22"/>
            <w:szCs w:val="22"/>
          </w:rPr>
          <w:t>Preliminary Remediation Goals for Radionuclides (PRGs).</w:t>
        </w:r>
      </w:hyperlink>
      <w:r w:rsidR="00D673E7" w:rsidRPr="005E5906">
        <w:t xml:space="preserve"> U.S. Environmental Protection Agency, (Live since 2001) </w:t>
      </w:r>
    </w:p>
    <w:p w14:paraId="26D0D646" w14:textId="77777777" w:rsidR="009E6E72" w:rsidRPr="005E5906" w:rsidRDefault="009E6E72" w:rsidP="00A52A3F">
      <w:pPr>
        <w:divId w:val="1722637042"/>
      </w:pPr>
    </w:p>
    <w:p w14:paraId="3AD60D08" w14:textId="34B910C6" w:rsidR="00EA6396" w:rsidRDefault="004456AE" w:rsidP="00A52A3F">
      <w:pPr>
        <w:divId w:val="1722637042"/>
      </w:pPr>
      <w:hyperlink r:id="rId45" w:history="1">
        <w:r w:rsidR="00D673E7" w:rsidRPr="005E5906">
          <w:rPr>
            <w:rStyle w:val="Hyperlink"/>
            <w:rFonts w:ascii="Helvetica" w:hAnsi="Helvetica" w:cs="Helvetica"/>
            <w:sz w:val="22"/>
            <w:szCs w:val="22"/>
          </w:rPr>
          <w:t>Radionuclide ARAR Dose Compliance Concentrations (DCCs)</w:t>
        </w:r>
      </w:hyperlink>
      <w:r w:rsidR="00D673E7" w:rsidRPr="005E5906">
        <w:t xml:space="preserve">. U.S. Environmental Protection Agency, Live since 2002) </w:t>
      </w:r>
    </w:p>
    <w:p w14:paraId="3AC55180" w14:textId="77777777" w:rsidR="009E6E72" w:rsidRPr="005E5906" w:rsidRDefault="009E6E72" w:rsidP="00A52A3F">
      <w:pPr>
        <w:divId w:val="1722637042"/>
      </w:pPr>
    </w:p>
    <w:p w14:paraId="40BEB004" w14:textId="3ED45F9C" w:rsidR="00EA6396" w:rsidRDefault="004456AE" w:rsidP="00A52A3F">
      <w:pPr>
        <w:divId w:val="1722637042"/>
      </w:pPr>
      <w:hyperlink r:id="rId46" w:history="1">
        <w:r w:rsidR="00D673E7" w:rsidRPr="005E5906">
          <w:rPr>
            <w:rStyle w:val="Hyperlink"/>
            <w:rFonts w:ascii="Helvetica" w:hAnsi="Helvetica" w:cs="Helvetica"/>
            <w:sz w:val="22"/>
            <w:szCs w:val="22"/>
          </w:rPr>
          <w:t>Preliminary Remediation Goals for Radionuclides in Buildings (BPRG)</w:t>
        </w:r>
      </w:hyperlink>
      <w:r w:rsidR="00D673E7" w:rsidRPr="005E5906">
        <w:t>. U.S. Environmental Protection Agency, (Live since 2009)</w:t>
      </w:r>
    </w:p>
    <w:p w14:paraId="7464C1C7" w14:textId="77777777" w:rsidR="009E6E72" w:rsidRPr="005E5906" w:rsidRDefault="009E6E72" w:rsidP="00A52A3F">
      <w:pPr>
        <w:divId w:val="1722637042"/>
      </w:pPr>
    </w:p>
    <w:p w14:paraId="6E736790" w14:textId="586AF4E4" w:rsidR="00EA6396" w:rsidRDefault="004456AE" w:rsidP="00A52A3F">
      <w:pPr>
        <w:divId w:val="1722637042"/>
      </w:pPr>
      <w:hyperlink r:id="rId47" w:history="1">
        <w:r w:rsidR="00D673E7" w:rsidRPr="005E5906">
          <w:rPr>
            <w:rStyle w:val="Hyperlink"/>
            <w:rFonts w:ascii="Helvetica" w:hAnsi="Helvetica" w:cs="Helvetica"/>
            <w:sz w:val="22"/>
            <w:szCs w:val="22"/>
          </w:rPr>
          <w:t>Preliminary Remediation Goals for Radionuclides in Outdoor Surfaces (SPRG)</w:t>
        </w:r>
      </w:hyperlink>
      <w:r w:rsidR="00D673E7" w:rsidRPr="005E5906">
        <w:t>. U.S. Environmental Protection Agency, (Live since 2008)</w:t>
      </w:r>
    </w:p>
    <w:p w14:paraId="1A41A393" w14:textId="77777777" w:rsidR="009E6E72" w:rsidRPr="005E5906" w:rsidRDefault="009E6E72" w:rsidP="00A52A3F">
      <w:pPr>
        <w:divId w:val="1722637042"/>
      </w:pPr>
    </w:p>
    <w:p w14:paraId="5C58DE8C" w14:textId="632D0296" w:rsidR="00EA6396" w:rsidRDefault="004456AE" w:rsidP="00A52A3F">
      <w:pPr>
        <w:divId w:val="1722637042"/>
      </w:pPr>
      <w:hyperlink r:id="rId48" w:history="1">
        <w:r w:rsidR="00D673E7" w:rsidRPr="005E5906">
          <w:rPr>
            <w:rStyle w:val="Hyperlink"/>
            <w:rFonts w:ascii="Helvetica" w:hAnsi="Helvetica" w:cs="Helvetica"/>
            <w:sz w:val="22"/>
            <w:szCs w:val="22"/>
          </w:rPr>
          <w:t>Dose Compliance Concentrations for Radionuclides in Buildings (BDCC)</w:t>
        </w:r>
      </w:hyperlink>
      <w:r w:rsidR="00D673E7" w:rsidRPr="005E5906">
        <w:t>. U.S. Environmental Protection Agency, (Live since 2009)</w:t>
      </w:r>
    </w:p>
    <w:p w14:paraId="50C91992" w14:textId="77777777" w:rsidR="009E6E72" w:rsidRPr="005E5906" w:rsidRDefault="009E6E72" w:rsidP="00A52A3F">
      <w:pPr>
        <w:divId w:val="1722637042"/>
      </w:pPr>
    </w:p>
    <w:p w14:paraId="585E759A" w14:textId="4DE6D127" w:rsidR="00EA6396" w:rsidRDefault="004456AE" w:rsidP="00A52A3F">
      <w:pPr>
        <w:divId w:val="1722637042"/>
      </w:pPr>
      <w:hyperlink r:id="rId49" w:history="1">
        <w:r w:rsidR="00D673E7" w:rsidRPr="005E5906">
          <w:rPr>
            <w:rStyle w:val="Hyperlink"/>
            <w:rFonts w:ascii="Helvetica" w:hAnsi="Helvetica" w:cs="Helvetica"/>
            <w:sz w:val="22"/>
            <w:szCs w:val="22"/>
          </w:rPr>
          <w:t>Dose Compliance Concentrations for Radionuclides in Outdoor Surfaces (SDCC)</w:t>
        </w:r>
      </w:hyperlink>
      <w:r w:rsidR="00D673E7" w:rsidRPr="005E5906">
        <w:t>. U.S. Environmental Protection Agency, (Live since 2009)</w:t>
      </w:r>
    </w:p>
    <w:p w14:paraId="2AF29A37" w14:textId="77777777" w:rsidR="009E6E72" w:rsidRPr="005E5906" w:rsidRDefault="009E6E72" w:rsidP="00A52A3F">
      <w:pPr>
        <w:divId w:val="1722637042"/>
      </w:pPr>
    </w:p>
    <w:p w14:paraId="3AD27F7E" w14:textId="3812E9AD" w:rsidR="00EA6396" w:rsidRDefault="004456AE" w:rsidP="00A52A3F">
      <w:pPr>
        <w:divId w:val="1722637042"/>
      </w:pPr>
      <w:hyperlink r:id="rId50" w:history="1">
        <w:r w:rsidR="00D673E7" w:rsidRPr="005E5906">
          <w:rPr>
            <w:rStyle w:val="Hyperlink"/>
            <w:rFonts w:ascii="Helvetica" w:hAnsi="Helvetica" w:cs="Helvetica"/>
            <w:sz w:val="22"/>
            <w:szCs w:val="22"/>
          </w:rPr>
          <w:t>Radionuclide Decay Chain Tool.</w:t>
        </w:r>
      </w:hyperlink>
      <w:r w:rsidR="00D673E7" w:rsidRPr="005E5906">
        <w:t xml:space="preserve"> U.S. Environmental Protection Agency, (Live since 2012) </w:t>
      </w:r>
    </w:p>
    <w:p w14:paraId="489B6671" w14:textId="77777777" w:rsidR="009E6E72" w:rsidRPr="005E5906" w:rsidRDefault="009E6E72" w:rsidP="00A52A3F">
      <w:pPr>
        <w:divId w:val="1722637042"/>
      </w:pPr>
    </w:p>
    <w:p w14:paraId="3FBB5F6B" w14:textId="0CB5D9AA" w:rsidR="00C84D2E" w:rsidRDefault="004456AE" w:rsidP="00A52A3F">
      <w:pPr>
        <w:divId w:val="1722637042"/>
      </w:pPr>
      <w:hyperlink r:id="rId51" w:history="1">
        <w:r w:rsidR="00C84D2E" w:rsidRPr="005E5906">
          <w:rPr>
            <w:rStyle w:val="Hyperlink"/>
            <w:rFonts w:ascii="Helvetica" w:hAnsi="Helvetica" w:cs="Helvetica"/>
            <w:sz w:val="22"/>
            <w:szCs w:val="22"/>
          </w:rPr>
          <w:t>Cleanup Levels Calculator</w:t>
        </w:r>
      </w:hyperlink>
      <w:r w:rsidR="00C84D2E" w:rsidRPr="005E5906">
        <w:t>. Alaska Contaminated Sites Program. (Live since 2014)</w:t>
      </w:r>
    </w:p>
    <w:p w14:paraId="376C15B7" w14:textId="77777777" w:rsidR="009E6E72" w:rsidRPr="005E5906" w:rsidRDefault="009E6E72" w:rsidP="00A52A3F">
      <w:pPr>
        <w:divId w:val="1722637042"/>
      </w:pPr>
    </w:p>
    <w:p w14:paraId="6E0DCDBB" w14:textId="4889E7D8" w:rsidR="00C84D2E" w:rsidRDefault="004456AE" w:rsidP="00A52A3F">
      <w:pPr>
        <w:divId w:val="1722637042"/>
      </w:pPr>
      <w:hyperlink r:id="rId52" w:history="1">
        <w:r w:rsidR="00C84D2E" w:rsidRPr="005E5906">
          <w:rPr>
            <w:rStyle w:val="Hyperlink"/>
            <w:rFonts w:ascii="Helvetica" w:hAnsi="Helvetica" w:cs="Helvetica"/>
            <w:sz w:val="22"/>
            <w:szCs w:val="22"/>
          </w:rPr>
          <w:t>Cumulative Risk Calculator</w:t>
        </w:r>
      </w:hyperlink>
      <w:r w:rsidR="00C84D2E" w:rsidRPr="005E5906">
        <w:t>. Alaska Contaminated Sites Program. (Live since 2014)</w:t>
      </w:r>
    </w:p>
    <w:p w14:paraId="6D90258E" w14:textId="77777777" w:rsidR="009E6E72" w:rsidRPr="005E5906" w:rsidRDefault="009E6E72" w:rsidP="00A52A3F">
      <w:pPr>
        <w:divId w:val="1722637042"/>
      </w:pPr>
    </w:p>
    <w:p w14:paraId="1C5971BF" w14:textId="4DFD9B7E" w:rsidR="00A17503" w:rsidRDefault="004456AE" w:rsidP="00A52A3F">
      <w:pPr>
        <w:divId w:val="1722637042"/>
      </w:pPr>
      <w:hyperlink r:id="rId53" w:history="1">
        <w:r w:rsidR="00A17503" w:rsidRPr="005E5906">
          <w:rPr>
            <w:rStyle w:val="Hyperlink"/>
            <w:rFonts w:ascii="Helvetica" w:hAnsi="Helvetica" w:cs="Helvetica"/>
            <w:sz w:val="22"/>
            <w:szCs w:val="22"/>
          </w:rPr>
          <w:t>Radon Vapor Intrusion Screening Level</w:t>
        </w:r>
        <w:r w:rsidR="0096527D" w:rsidRPr="005E5906">
          <w:rPr>
            <w:rStyle w:val="Hyperlink"/>
            <w:rFonts w:ascii="Helvetica" w:hAnsi="Helvetica" w:cs="Helvetica"/>
            <w:sz w:val="22"/>
            <w:szCs w:val="22"/>
          </w:rPr>
          <w:t xml:space="preserve"> Calculator</w:t>
        </w:r>
      </w:hyperlink>
      <w:r w:rsidR="0096527D" w:rsidRPr="005E5906">
        <w:t>. U.S. Environmental Protection Agency, (Live since 2021)</w:t>
      </w:r>
    </w:p>
    <w:p w14:paraId="154301A0" w14:textId="77777777" w:rsidR="009E6E72" w:rsidRPr="005E5906" w:rsidRDefault="009E6E72" w:rsidP="00A52A3F">
      <w:pPr>
        <w:divId w:val="1722637042"/>
      </w:pPr>
    </w:p>
    <w:p w14:paraId="38577185" w14:textId="7B4F90A2" w:rsidR="00DE59E7" w:rsidRPr="005E5906" w:rsidRDefault="004456AE" w:rsidP="00A52A3F">
      <w:pPr>
        <w:divId w:val="1722637042"/>
      </w:pPr>
      <w:hyperlink r:id="rId54" w:history="1">
        <w:r w:rsidR="00DE59E7" w:rsidRPr="005E5906">
          <w:rPr>
            <w:rStyle w:val="Hyperlink"/>
            <w:rFonts w:ascii="Helvetica" w:hAnsi="Helvetica" w:cs="Helvetica"/>
            <w:sz w:val="22"/>
            <w:szCs w:val="22"/>
          </w:rPr>
          <w:t>Delaware Risk Assessment Calculator</w:t>
        </w:r>
      </w:hyperlink>
      <w:r w:rsidR="00DE59E7" w:rsidRPr="005E5906">
        <w:t>.</w:t>
      </w:r>
      <w:r w:rsidR="00535B36" w:rsidRPr="005E5906">
        <w:t xml:space="preserve"> Delaware </w:t>
      </w:r>
      <w:r w:rsidR="00D8408E" w:rsidRPr="005E5906">
        <w:t xml:space="preserve">Department of Natural Resources. </w:t>
      </w:r>
      <w:r w:rsidR="00EE57EB" w:rsidRPr="005E5906">
        <w:t>(Anticipated Live in 2021)</w:t>
      </w:r>
    </w:p>
    <w:p w14:paraId="6EF2CCFE" w14:textId="7788A3BC" w:rsidR="00C84D2E" w:rsidRPr="005E5906" w:rsidRDefault="00C84D2E" w:rsidP="00A52A3F">
      <w:pPr>
        <w:divId w:val="1722637042"/>
      </w:pPr>
    </w:p>
    <w:sectPr w:rsidR="00C84D2E" w:rsidRPr="005E5906">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16B3F" w14:textId="77777777" w:rsidR="00373DE2" w:rsidRDefault="00373DE2" w:rsidP="003A35EB">
      <w:r>
        <w:separator/>
      </w:r>
    </w:p>
  </w:endnote>
  <w:endnote w:type="continuationSeparator" w:id="0">
    <w:p w14:paraId="3D92B862" w14:textId="77777777" w:rsidR="00373DE2" w:rsidRDefault="00373DE2" w:rsidP="003A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FontAwesome">
    <w:charset w:val="00"/>
    <w:family w:val="auto"/>
    <w:pitch w:val="default"/>
  </w:font>
  <w:font w:name="Genericons">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668979"/>
      <w:docPartObj>
        <w:docPartGallery w:val="Page Numbers (Bottom of Page)"/>
        <w:docPartUnique/>
      </w:docPartObj>
    </w:sdtPr>
    <w:sdtEndPr>
      <w:rPr>
        <w:noProof/>
      </w:rPr>
    </w:sdtEndPr>
    <w:sdtContent>
      <w:p w14:paraId="79D10FBC" w14:textId="40092EF6" w:rsidR="003A35EB" w:rsidRDefault="003A35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B06EB" w14:textId="77777777" w:rsidR="003A35EB" w:rsidRDefault="003A3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3324E" w14:textId="77777777" w:rsidR="00373DE2" w:rsidRDefault="00373DE2" w:rsidP="003A35EB">
      <w:r>
        <w:separator/>
      </w:r>
    </w:p>
  </w:footnote>
  <w:footnote w:type="continuationSeparator" w:id="0">
    <w:p w14:paraId="1EA77390" w14:textId="77777777" w:rsidR="00373DE2" w:rsidRDefault="00373DE2" w:rsidP="003A3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0240D"/>
    <w:multiLevelType w:val="multilevel"/>
    <w:tmpl w:val="A254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06"/>
    <w:rsid w:val="00026979"/>
    <w:rsid w:val="00031814"/>
    <w:rsid w:val="00052C16"/>
    <w:rsid w:val="00060A1F"/>
    <w:rsid w:val="00091F02"/>
    <w:rsid w:val="00096295"/>
    <w:rsid w:val="00096A5E"/>
    <w:rsid w:val="000A55C8"/>
    <w:rsid w:val="000A74BE"/>
    <w:rsid w:val="000C33DB"/>
    <w:rsid w:val="000C3425"/>
    <w:rsid w:val="000E06A7"/>
    <w:rsid w:val="00103D36"/>
    <w:rsid w:val="0011343D"/>
    <w:rsid w:val="00146237"/>
    <w:rsid w:val="00146F67"/>
    <w:rsid w:val="00151894"/>
    <w:rsid w:val="00156010"/>
    <w:rsid w:val="001624CE"/>
    <w:rsid w:val="00176109"/>
    <w:rsid w:val="00180ACA"/>
    <w:rsid w:val="00197631"/>
    <w:rsid w:val="001A6A46"/>
    <w:rsid w:val="001C4FB1"/>
    <w:rsid w:val="001C615F"/>
    <w:rsid w:val="001D58C8"/>
    <w:rsid w:val="001D5F7F"/>
    <w:rsid w:val="001F05AD"/>
    <w:rsid w:val="001F72EE"/>
    <w:rsid w:val="00234A37"/>
    <w:rsid w:val="00245411"/>
    <w:rsid w:val="002609DD"/>
    <w:rsid w:val="00264C33"/>
    <w:rsid w:val="00265406"/>
    <w:rsid w:val="00272C8C"/>
    <w:rsid w:val="0027710A"/>
    <w:rsid w:val="002A4820"/>
    <w:rsid w:val="002D4B11"/>
    <w:rsid w:val="002D4F77"/>
    <w:rsid w:val="002D50BB"/>
    <w:rsid w:val="002E1361"/>
    <w:rsid w:val="00310E46"/>
    <w:rsid w:val="00312003"/>
    <w:rsid w:val="00313F40"/>
    <w:rsid w:val="0034398A"/>
    <w:rsid w:val="00366175"/>
    <w:rsid w:val="00373DE2"/>
    <w:rsid w:val="00386D9A"/>
    <w:rsid w:val="00394259"/>
    <w:rsid w:val="003A35EB"/>
    <w:rsid w:val="003A43B0"/>
    <w:rsid w:val="003E0889"/>
    <w:rsid w:val="004107B3"/>
    <w:rsid w:val="0043002C"/>
    <w:rsid w:val="004456AE"/>
    <w:rsid w:val="00470BF9"/>
    <w:rsid w:val="004E769C"/>
    <w:rsid w:val="0051455D"/>
    <w:rsid w:val="00535B36"/>
    <w:rsid w:val="00576C70"/>
    <w:rsid w:val="00585B3D"/>
    <w:rsid w:val="005A496F"/>
    <w:rsid w:val="005B15FE"/>
    <w:rsid w:val="005E5906"/>
    <w:rsid w:val="005E6FA6"/>
    <w:rsid w:val="005F373E"/>
    <w:rsid w:val="00606378"/>
    <w:rsid w:val="00607271"/>
    <w:rsid w:val="006263C2"/>
    <w:rsid w:val="00646652"/>
    <w:rsid w:val="00682904"/>
    <w:rsid w:val="006963EE"/>
    <w:rsid w:val="006969ED"/>
    <w:rsid w:val="006A34BA"/>
    <w:rsid w:val="006B4257"/>
    <w:rsid w:val="006F338A"/>
    <w:rsid w:val="00701B57"/>
    <w:rsid w:val="00711290"/>
    <w:rsid w:val="00716D52"/>
    <w:rsid w:val="007971B6"/>
    <w:rsid w:val="007B1753"/>
    <w:rsid w:val="007B389E"/>
    <w:rsid w:val="007D7FBE"/>
    <w:rsid w:val="007E486C"/>
    <w:rsid w:val="00807378"/>
    <w:rsid w:val="0082690E"/>
    <w:rsid w:val="008402B5"/>
    <w:rsid w:val="00884313"/>
    <w:rsid w:val="00892D5D"/>
    <w:rsid w:val="008A036A"/>
    <w:rsid w:val="008A7A84"/>
    <w:rsid w:val="008B1133"/>
    <w:rsid w:val="008D5DDC"/>
    <w:rsid w:val="008E775A"/>
    <w:rsid w:val="00927443"/>
    <w:rsid w:val="0093213E"/>
    <w:rsid w:val="009442C8"/>
    <w:rsid w:val="00954F08"/>
    <w:rsid w:val="0096527D"/>
    <w:rsid w:val="0096619F"/>
    <w:rsid w:val="00977CC4"/>
    <w:rsid w:val="0098620E"/>
    <w:rsid w:val="00992118"/>
    <w:rsid w:val="009958F5"/>
    <w:rsid w:val="009A3DE6"/>
    <w:rsid w:val="009A579A"/>
    <w:rsid w:val="009B648B"/>
    <w:rsid w:val="009B6E32"/>
    <w:rsid w:val="009E1505"/>
    <w:rsid w:val="009E4245"/>
    <w:rsid w:val="009E6E72"/>
    <w:rsid w:val="009E71CA"/>
    <w:rsid w:val="00A0648B"/>
    <w:rsid w:val="00A10601"/>
    <w:rsid w:val="00A17503"/>
    <w:rsid w:val="00A26290"/>
    <w:rsid w:val="00A33B28"/>
    <w:rsid w:val="00A52A3F"/>
    <w:rsid w:val="00A57519"/>
    <w:rsid w:val="00A72BE3"/>
    <w:rsid w:val="00B32AF4"/>
    <w:rsid w:val="00B331CA"/>
    <w:rsid w:val="00B33F4E"/>
    <w:rsid w:val="00B33F5E"/>
    <w:rsid w:val="00B37019"/>
    <w:rsid w:val="00B5211E"/>
    <w:rsid w:val="00B6705B"/>
    <w:rsid w:val="00BB7CE5"/>
    <w:rsid w:val="00BF1EFD"/>
    <w:rsid w:val="00BF1FDD"/>
    <w:rsid w:val="00C06C46"/>
    <w:rsid w:val="00C26520"/>
    <w:rsid w:val="00C33229"/>
    <w:rsid w:val="00C35D8D"/>
    <w:rsid w:val="00C618E6"/>
    <w:rsid w:val="00C636CD"/>
    <w:rsid w:val="00C669CE"/>
    <w:rsid w:val="00C7119A"/>
    <w:rsid w:val="00C8115D"/>
    <w:rsid w:val="00C84D2E"/>
    <w:rsid w:val="00C864D9"/>
    <w:rsid w:val="00C90E1D"/>
    <w:rsid w:val="00C93491"/>
    <w:rsid w:val="00CA2929"/>
    <w:rsid w:val="00CC09F7"/>
    <w:rsid w:val="00CE325C"/>
    <w:rsid w:val="00D01FBF"/>
    <w:rsid w:val="00D15A85"/>
    <w:rsid w:val="00D24EEC"/>
    <w:rsid w:val="00D352EC"/>
    <w:rsid w:val="00D37108"/>
    <w:rsid w:val="00D47399"/>
    <w:rsid w:val="00D62E15"/>
    <w:rsid w:val="00D6668C"/>
    <w:rsid w:val="00D673E7"/>
    <w:rsid w:val="00D8012B"/>
    <w:rsid w:val="00D8408E"/>
    <w:rsid w:val="00DB1677"/>
    <w:rsid w:val="00DE1E10"/>
    <w:rsid w:val="00DE59E7"/>
    <w:rsid w:val="00DF141A"/>
    <w:rsid w:val="00DF2440"/>
    <w:rsid w:val="00DF3F59"/>
    <w:rsid w:val="00E24195"/>
    <w:rsid w:val="00E37F07"/>
    <w:rsid w:val="00E71193"/>
    <w:rsid w:val="00EA3B47"/>
    <w:rsid w:val="00EA6396"/>
    <w:rsid w:val="00EB47BA"/>
    <w:rsid w:val="00EE4BF8"/>
    <w:rsid w:val="00EE57EB"/>
    <w:rsid w:val="00F17512"/>
    <w:rsid w:val="00F27916"/>
    <w:rsid w:val="00F5609F"/>
    <w:rsid w:val="00F74C6D"/>
    <w:rsid w:val="00F96ADF"/>
    <w:rsid w:val="00FA484A"/>
    <w:rsid w:val="00FC61D8"/>
    <w:rsid w:val="00FD2EA3"/>
    <w:rsid w:val="00FF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0D61B"/>
  <w15:chartTrackingRefBased/>
  <w15:docId w15:val="{1F79EA08-C027-4881-BA81-DE32C146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375" w:after="188"/>
      <w:outlineLvl w:val="0"/>
    </w:pPr>
    <w:rPr>
      <w:rFonts w:ascii="Helvetica" w:hAnsi="Helvetica" w:cs="Helvetica"/>
      <w:b/>
      <w:bCs/>
      <w:kern w:val="36"/>
      <w:sz w:val="48"/>
      <w:szCs w:val="48"/>
    </w:rPr>
  </w:style>
  <w:style w:type="paragraph" w:styleId="Heading2">
    <w:name w:val="heading 2"/>
    <w:basedOn w:val="Normal"/>
    <w:link w:val="Heading2Char"/>
    <w:uiPriority w:val="9"/>
    <w:qFormat/>
    <w:pPr>
      <w:spacing w:before="375" w:after="188"/>
      <w:outlineLvl w:val="1"/>
    </w:pPr>
    <w:rPr>
      <w:rFonts w:ascii="Helvetica" w:hAnsi="Helvetica" w:cs="Helvetica"/>
      <w:b/>
      <w:bCs/>
      <w:sz w:val="42"/>
      <w:szCs w:val="42"/>
    </w:rPr>
  </w:style>
  <w:style w:type="paragraph" w:styleId="Heading3">
    <w:name w:val="heading 3"/>
    <w:basedOn w:val="Normal"/>
    <w:link w:val="Heading3Char"/>
    <w:uiPriority w:val="9"/>
    <w:qFormat/>
    <w:pPr>
      <w:spacing w:before="375" w:after="188"/>
      <w:outlineLvl w:val="2"/>
    </w:pPr>
    <w:rPr>
      <w:rFonts w:ascii="Helvetica" w:hAnsi="Helvetica" w:cs="Helvetica"/>
      <w:b/>
      <w:bCs/>
      <w:sz w:val="36"/>
      <w:szCs w:val="36"/>
    </w:rPr>
  </w:style>
  <w:style w:type="paragraph" w:styleId="Heading4">
    <w:name w:val="heading 4"/>
    <w:basedOn w:val="Normal"/>
    <w:link w:val="Heading4Char"/>
    <w:uiPriority w:val="9"/>
    <w:qFormat/>
    <w:pPr>
      <w:spacing w:before="188" w:after="188"/>
      <w:outlineLvl w:val="3"/>
    </w:pPr>
    <w:rPr>
      <w:rFonts w:ascii="Helvetica" w:hAnsi="Helvetica" w:cs="Helvetica"/>
      <w:b/>
      <w:bCs/>
      <w:sz w:val="27"/>
      <w:szCs w:val="27"/>
    </w:rPr>
  </w:style>
  <w:style w:type="paragraph" w:styleId="Heading5">
    <w:name w:val="heading 5"/>
    <w:basedOn w:val="Normal"/>
    <w:link w:val="Heading5Char"/>
    <w:uiPriority w:val="9"/>
    <w:qFormat/>
    <w:pPr>
      <w:spacing w:before="188" w:after="188"/>
      <w:outlineLvl w:val="4"/>
    </w:pPr>
    <w:rPr>
      <w:rFonts w:ascii="Helvetica" w:hAnsi="Helvetica" w:cs="Helvetica"/>
      <w:b/>
      <w:bCs/>
      <w:sz w:val="21"/>
      <w:szCs w:val="21"/>
    </w:rPr>
  </w:style>
  <w:style w:type="paragraph" w:styleId="Heading6">
    <w:name w:val="heading 6"/>
    <w:basedOn w:val="Normal"/>
    <w:link w:val="Heading6Char"/>
    <w:uiPriority w:val="9"/>
    <w:qFormat/>
    <w:pPr>
      <w:spacing w:before="188" w:after="188"/>
      <w:outlineLvl w:val="5"/>
    </w:pPr>
    <w:rPr>
      <w:rFonts w:ascii="Helvetica" w:hAnsi="Helvetica" w:cs="Helvetic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6C93"/>
      <w:u w:val="single"/>
      <w:shd w:val="clear" w:color="auto" w:fill="auto"/>
    </w:rPr>
  </w:style>
  <w:style w:type="character" w:styleId="FollowedHyperlink">
    <w:name w:val="FollowedHyperlink"/>
    <w:basedOn w:val="DefaultParagraphFont"/>
    <w:uiPriority w:val="99"/>
    <w:semiHidden/>
    <w:unhideWhenUsed/>
    <w:rPr>
      <w:color w:val="006C93"/>
      <w:u w:val="single"/>
      <w:shd w:val="clear" w:color="auto" w:fill="auto"/>
    </w:rPr>
  </w:style>
  <w:style w:type="paragraph" w:styleId="HTMLAddress">
    <w:name w:val="HTML Address"/>
    <w:basedOn w:val="Normal"/>
    <w:link w:val="HTMLAddressChar"/>
    <w:uiPriority w:val="99"/>
    <w:semiHidden/>
    <w:unhideWhenUsed/>
    <w:pPr>
      <w:spacing w:after="375"/>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ode">
    <w:name w:val="HTML Code"/>
    <w:basedOn w:val="DefaultParagraphFont"/>
    <w:uiPriority w:val="99"/>
    <w:semiHidden/>
    <w:unhideWhenUsed/>
    <w:rPr>
      <w:rFonts w:ascii="Consolas" w:eastAsiaTheme="minorEastAsia" w:hAnsi="Consolas" w:cs="Courier New" w:hint="default"/>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9" w:color="CCCCCC"/>
        <w:left w:val="single" w:sz="6" w:space="9" w:color="CCCCCC"/>
        <w:bottom w:val="single" w:sz="6" w:space="9" w:color="CCCCCC"/>
        <w:right w:val="single" w:sz="6" w:space="9"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8"/>
    </w:pPr>
    <w:rPr>
      <w:rFonts w:ascii="Consolas" w:hAnsi="Consolas" w:cs="Courier New"/>
      <w:color w:val="8B8C8E"/>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paragraph" w:customStyle="1" w:styleId="msonormal0">
    <w:name w:val="msonormal"/>
    <w:basedOn w:val="Normal"/>
    <w:pPr>
      <w:spacing w:after="188"/>
    </w:pPr>
  </w:style>
  <w:style w:type="paragraph" w:styleId="NormalWeb">
    <w:name w:val="Normal (Web)"/>
    <w:basedOn w:val="Normal"/>
    <w:uiPriority w:val="99"/>
    <w:semiHidden/>
    <w:unhideWhenUsed/>
    <w:pPr>
      <w:spacing w:after="188"/>
    </w:pPr>
  </w:style>
  <w:style w:type="paragraph" w:customStyle="1" w:styleId="icon-bobi-main">
    <w:name w:val="icon-bobi-main"/>
    <w:basedOn w:val="Normal"/>
    <w:pPr>
      <w:spacing w:before="100" w:beforeAutospacing="1" w:after="100" w:afterAutospacing="1"/>
    </w:pPr>
  </w:style>
  <w:style w:type="paragraph" w:customStyle="1" w:styleId="icon-fa-cal">
    <w:name w:val="icon-fa-cal"/>
    <w:basedOn w:val="Normal"/>
    <w:pPr>
      <w:spacing w:before="100" w:beforeAutospacing="1" w:after="100" w:afterAutospacing="1"/>
    </w:pPr>
  </w:style>
  <w:style w:type="paragraph" w:customStyle="1" w:styleId="icon-fa-chevron-down">
    <w:name w:val="icon-fa-chevron-down"/>
    <w:basedOn w:val="Normal"/>
    <w:pPr>
      <w:spacing w:before="100" w:beforeAutospacing="1" w:after="100" w:afterAutospacing="1"/>
    </w:pPr>
  </w:style>
  <w:style w:type="paragraph" w:customStyle="1" w:styleId="icon-fa-chevron-left-white">
    <w:name w:val="icon-fa-chevron-left-white"/>
    <w:basedOn w:val="Normal"/>
    <w:pPr>
      <w:spacing w:before="100" w:beforeAutospacing="1" w:after="100" w:afterAutospacing="1"/>
    </w:pPr>
  </w:style>
  <w:style w:type="paragraph" w:customStyle="1" w:styleId="icon-fa-chevron-left">
    <w:name w:val="icon-fa-chevron-left"/>
    <w:basedOn w:val="Normal"/>
    <w:pPr>
      <w:spacing w:before="100" w:beforeAutospacing="1" w:after="100" w:afterAutospacing="1"/>
    </w:pPr>
  </w:style>
  <w:style w:type="paragraph" w:customStyle="1" w:styleId="icon-fa-chevron-right">
    <w:name w:val="icon-fa-chevron-right"/>
    <w:basedOn w:val="Normal"/>
    <w:pPr>
      <w:spacing w:before="100" w:beforeAutospacing="1" w:after="100" w:afterAutospacing="1"/>
    </w:pPr>
  </w:style>
  <w:style w:type="paragraph" w:customStyle="1" w:styleId="icon-fa-comment">
    <w:name w:val="icon-fa-comment"/>
    <w:basedOn w:val="Normal"/>
    <w:pPr>
      <w:spacing w:before="100" w:beforeAutospacing="1" w:after="100" w:afterAutospacing="1"/>
    </w:pPr>
  </w:style>
  <w:style w:type="paragraph" w:customStyle="1" w:styleId="icon-fa-edit">
    <w:name w:val="icon-fa-edit"/>
    <w:basedOn w:val="Normal"/>
    <w:pPr>
      <w:spacing w:before="100" w:beforeAutospacing="1" w:after="100" w:afterAutospacing="1"/>
    </w:pPr>
  </w:style>
  <w:style w:type="paragraph" w:customStyle="1" w:styleId="icon-fa-find">
    <w:name w:val="icon-fa-find"/>
    <w:basedOn w:val="Normal"/>
    <w:pPr>
      <w:spacing w:before="100" w:beforeAutospacing="1" w:after="100" w:afterAutospacing="1"/>
    </w:pPr>
  </w:style>
  <w:style w:type="paragraph" w:customStyle="1" w:styleId="icon-fa-folder">
    <w:name w:val="icon-fa-folder"/>
    <w:basedOn w:val="Normal"/>
    <w:pPr>
      <w:spacing w:before="100" w:beforeAutospacing="1" w:after="100" w:afterAutospacing="1"/>
    </w:pPr>
  </w:style>
  <w:style w:type="paragraph" w:customStyle="1" w:styleId="icon-fa-gift">
    <w:name w:val="icon-fa-gift"/>
    <w:basedOn w:val="Normal"/>
    <w:pPr>
      <w:spacing w:before="100" w:beforeAutospacing="1" w:after="100" w:afterAutospacing="1"/>
    </w:pPr>
  </w:style>
  <w:style w:type="paragraph" w:customStyle="1" w:styleId="icon-fa-home">
    <w:name w:val="icon-fa-home"/>
    <w:basedOn w:val="Normal"/>
    <w:pPr>
      <w:spacing w:before="100" w:beforeAutospacing="1" w:after="100" w:afterAutospacing="1"/>
    </w:pPr>
  </w:style>
  <w:style w:type="paragraph" w:customStyle="1" w:styleId="icon-fa-tag">
    <w:name w:val="icon-fa-tag"/>
    <w:basedOn w:val="Normal"/>
    <w:pPr>
      <w:spacing w:before="100" w:beforeAutospacing="1" w:after="100" w:afterAutospacing="1"/>
    </w:pPr>
  </w:style>
  <w:style w:type="paragraph" w:customStyle="1" w:styleId="icon-fa-user">
    <w:name w:val="icon-fa-user"/>
    <w:basedOn w:val="Normal"/>
    <w:pPr>
      <w:spacing w:before="100" w:beforeAutospacing="1" w:after="100" w:afterAutospacing="1"/>
    </w:pPr>
  </w:style>
  <w:style w:type="paragraph" w:customStyle="1" w:styleId="glyphicon-check">
    <w:name w:val="glyphicon-check"/>
    <w:basedOn w:val="Normal"/>
    <w:pPr>
      <w:spacing w:before="100" w:beforeAutospacing="1" w:after="100" w:afterAutospacing="1"/>
    </w:pPr>
  </w:style>
  <w:style w:type="paragraph" w:customStyle="1" w:styleId="glyphicon-arrow-right">
    <w:name w:val="glyphicon-arrow-right"/>
    <w:basedOn w:val="Normal"/>
    <w:pPr>
      <w:spacing w:before="100" w:beforeAutospacing="1" w:after="100" w:afterAutospacing="1"/>
    </w:pPr>
  </w:style>
  <w:style w:type="paragraph" w:customStyle="1" w:styleId="glyphicon-chevron-right">
    <w:name w:val="glyphicon-chevron-right"/>
    <w:basedOn w:val="Normal"/>
    <w:pPr>
      <w:spacing w:before="100" w:beforeAutospacing="1" w:after="100" w:afterAutospacing="1"/>
    </w:pPr>
  </w:style>
  <w:style w:type="paragraph" w:customStyle="1" w:styleId="glyphicon-download">
    <w:name w:val="glyphicon-download"/>
    <w:basedOn w:val="Normal"/>
    <w:pPr>
      <w:spacing w:before="100" w:beforeAutospacing="1" w:after="100" w:afterAutospacing="1"/>
    </w:pPr>
  </w:style>
  <w:style w:type="paragraph" w:customStyle="1" w:styleId="glyphicon-info-sign">
    <w:name w:val="glyphicon-info-sign"/>
    <w:basedOn w:val="Normal"/>
    <w:pPr>
      <w:spacing w:before="100" w:beforeAutospacing="1" w:after="100" w:afterAutospacing="1"/>
    </w:pPr>
  </w:style>
  <w:style w:type="paragraph" w:customStyle="1" w:styleId="glyphicon-question-sign">
    <w:name w:val="glyphicon-question-sign"/>
    <w:basedOn w:val="Normal"/>
    <w:pPr>
      <w:spacing w:before="100" w:beforeAutospacing="1" w:after="100" w:afterAutospacing="1"/>
    </w:pPr>
  </w:style>
  <w:style w:type="paragraph" w:customStyle="1" w:styleId="glyphicon-arrow-left">
    <w:name w:val="glyphicon-arrow-left"/>
    <w:basedOn w:val="Normal"/>
    <w:pPr>
      <w:spacing w:before="100" w:beforeAutospacing="1" w:after="100" w:afterAutospacing="1"/>
    </w:pPr>
  </w:style>
  <w:style w:type="paragraph" w:customStyle="1" w:styleId="glyphicon-chevron-left">
    <w:name w:val="glyphicon-chevron-left"/>
    <w:basedOn w:val="Normal"/>
    <w:pPr>
      <w:spacing w:before="100" w:beforeAutospacing="1" w:after="100" w:afterAutospacing="1"/>
    </w:pPr>
  </w:style>
  <w:style w:type="paragraph" w:customStyle="1" w:styleId="fa">
    <w:name w:val="fa"/>
    <w:basedOn w:val="Normal"/>
    <w:pPr>
      <w:spacing w:before="100" w:beforeAutospacing="1" w:after="100" w:afterAutospacing="1"/>
    </w:pPr>
    <w:rPr>
      <w:rFonts w:ascii="FontAwesome" w:hAnsi="FontAwesome"/>
    </w:rPr>
  </w:style>
  <w:style w:type="paragraph" w:customStyle="1" w:styleId="fa-lg">
    <w:name w:val="fa-lg"/>
    <w:basedOn w:val="Normal"/>
    <w:pPr>
      <w:spacing w:before="100" w:beforeAutospacing="1" w:after="100" w:afterAutospacing="1" w:line="180" w:lineRule="atLeast"/>
    </w:pPr>
    <w:rPr>
      <w:sz w:val="32"/>
      <w:szCs w:val="32"/>
    </w:rPr>
  </w:style>
  <w:style w:type="paragraph" w:customStyle="1" w:styleId="fa-2x">
    <w:name w:val="fa-2x"/>
    <w:basedOn w:val="Normal"/>
    <w:pPr>
      <w:spacing w:before="100" w:beforeAutospacing="1" w:after="100" w:afterAutospacing="1"/>
    </w:pPr>
    <w:rPr>
      <w:sz w:val="48"/>
      <w:szCs w:val="48"/>
    </w:rPr>
  </w:style>
  <w:style w:type="paragraph" w:customStyle="1" w:styleId="fa-3x">
    <w:name w:val="fa-3x"/>
    <w:basedOn w:val="Normal"/>
    <w:pPr>
      <w:spacing w:before="100" w:beforeAutospacing="1" w:after="100" w:afterAutospacing="1"/>
    </w:pPr>
    <w:rPr>
      <w:sz w:val="72"/>
      <w:szCs w:val="72"/>
    </w:rPr>
  </w:style>
  <w:style w:type="paragraph" w:customStyle="1" w:styleId="fa-4x">
    <w:name w:val="fa-4x"/>
    <w:basedOn w:val="Normal"/>
    <w:pPr>
      <w:spacing w:before="100" w:beforeAutospacing="1" w:after="100" w:afterAutospacing="1"/>
    </w:pPr>
    <w:rPr>
      <w:sz w:val="96"/>
      <w:szCs w:val="96"/>
    </w:rPr>
  </w:style>
  <w:style w:type="paragraph" w:customStyle="1" w:styleId="fa-5x">
    <w:name w:val="fa-5x"/>
    <w:basedOn w:val="Normal"/>
    <w:pPr>
      <w:spacing w:before="100" w:beforeAutospacing="1" w:after="100" w:afterAutospacing="1"/>
    </w:pPr>
    <w:rPr>
      <w:sz w:val="120"/>
      <w:szCs w:val="120"/>
    </w:rPr>
  </w:style>
  <w:style w:type="paragraph" w:customStyle="1" w:styleId="fa-fw">
    <w:name w:val="fa-fw"/>
    <w:basedOn w:val="Normal"/>
    <w:pPr>
      <w:spacing w:before="100" w:beforeAutospacing="1" w:after="100" w:afterAutospacing="1"/>
      <w:jc w:val="center"/>
    </w:pPr>
  </w:style>
  <w:style w:type="paragraph" w:customStyle="1" w:styleId="fa-ul">
    <w:name w:val="fa-ul"/>
    <w:basedOn w:val="Normal"/>
    <w:pPr>
      <w:spacing w:before="100" w:beforeAutospacing="1" w:after="100" w:afterAutospacing="1"/>
      <w:ind w:left="514"/>
    </w:pPr>
  </w:style>
  <w:style w:type="paragraph" w:customStyle="1" w:styleId="fa-li">
    <w:name w:val="fa-li"/>
    <w:basedOn w:val="Normal"/>
    <w:pPr>
      <w:spacing w:before="100" w:beforeAutospacing="1" w:after="100" w:afterAutospacing="1"/>
      <w:jc w:val="center"/>
    </w:pPr>
  </w:style>
  <w:style w:type="paragraph" w:customStyle="1" w:styleId="fa-border">
    <w:name w:val="fa-border"/>
    <w:basedOn w:val="Normal"/>
    <w:pPr>
      <w:pBdr>
        <w:top w:val="single" w:sz="8" w:space="2" w:color="EEEEEE"/>
        <w:left w:val="single" w:sz="8" w:space="3" w:color="EEEEEE"/>
        <w:bottom w:val="single" w:sz="8" w:space="2" w:color="EEEEEE"/>
        <w:right w:val="single" w:sz="8" w:space="3" w:color="EEEEEE"/>
      </w:pBdr>
      <w:spacing w:before="100" w:beforeAutospacing="1" w:after="100" w:afterAutospacing="1"/>
    </w:pPr>
  </w:style>
  <w:style w:type="paragraph" w:customStyle="1" w:styleId="fa-stack">
    <w:name w:val="fa-stack"/>
    <w:basedOn w:val="Normal"/>
    <w:pPr>
      <w:spacing w:before="100" w:beforeAutospacing="1" w:after="100" w:afterAutospacing="1" w:line="480" w:lineRule="atLeast"/>
      <w:textAlignment w:val="center"/>
    </w:pPr>
  </w:style>
  <w:style w:type="paragraph" w:customStyle="1" w:styleId="fa-stack-1x">
    <w:name w:val="fa-stack-1x"/>
    <w:basedOn w:val="Normal"/>
    <w:pPr>
      <w:spacing w:before="100" w:beforeAutospacing="1" w:after="100" w:afterAutospacing="1"/>
      <w:jc w:val="center"/>
    </w:pPr>
  </w:style>
  <w:style w:type="paragraph" w:customStyle="1" w:styleId="fa-stack-2x">
    <w:name w:val="fa-stack-2x"/>
    <w:basedOn w:val="Normal"/>
    <w:pPr>
      <w:spacing w:before="100" w:beforeAutospacing="1" w:after="100" w:afterAutospacing="1"/>
      <w:jc w:val="center"/>
    </w:pPr>
    <w:rPr>
      <w:sz w:val="48"/>
      <w:szCs w:val="48"/>
    </w:rPr>
  </w:style>
  <w:style w:type="paragraph" w:customStyle="1" w:styleId="fa-inverse">
    <w:name w:val="fa-inverse"/>
    <w:basedOn w:val="Normal"/>
    <w:pPr>
      <w:spacing w:before="100" w:beforeAutospacing="1" w:after="100" w:afterAutospacing="1"/>
    </w:pPr>
    <w:rPr>
      <w:color w:val="FFFFFF"/>
    </w:rPr>
  </w:style>
  <w:style w:type="paragraph" w:customStyle="1" w:styleId="omsc-clear">
    <w:name w:val="omsc-clear"/>
    <w:basedOn w:val="Normal"/>
    <w:pPr>
      <w:spacing w:before="100" w:beforeAutospacing="1" w:after="100" w:afterAutospacing="1"/>
    </w:pPr>
  </w:style>
  <w:style w:type="paragraph" w:customStyle="1" w:styleId="omsc-one-half">
    <w:name w:val="omsc-one-half"/>
    <w:basedOn w:val="Normal"/>
    <w:pPr>
      <w:ind w:right="489"/>
    </w:pPr>
  </w:style>
  <w:style w:type="paragraph" w:customStyle="1" w:styleId="omsc-one-third">
    <w:name w:val="omsc-one-third"/>
    <w:basedOn w:val="Normal"/>
    <w:pPr>
      <w:ind w:right="489"/>
    </w:pPr>
  </w:style>
  <w:style w:type="paragraph" w:customStyle="1" w:styleId="omsc-two-third">
    <w:name w:val="omsc-two-third"/>
    <w:basedOn w:val="Normal"/>
    <w:pPr>
      <w:ind w:right="489"/>
    </w:pPr>
  </w:style>
  <w:style w:type="paragraph" w:customStyle="1" w:styleId="omsc-one-fourth">
    <w:name w:val="omsc-one-fourth"/>
    <w:basedOn w:val="Normal"/>
    <w:pPr>
      <w:ind w:right="489"/>
    </w:pPr>
  </w:style>
  <w:style w:type="paragraph" w:customStyle="1" w:styleId="omsc-three-fourth">
    <w:name w:val="omsc-three-fourth"/>
    <w:basedOn w:val="Normal"/>
    <w:pPr>
      <w:ind w:right="489"/>
    </w:pPr>
  </w:style>
  <w:style w:type="paragraph" w:customStyle="1" w:styleId="omsc-one-fifth">
    <w:name w:val="omsc-one-fifth"/>
    <w:basedOn w:val="Normal"/>
    <w:pPr>
      <w:ind w:right="489"/>
    </w:pPr>
  </w:style>
  <w:style w:type="paragraph" w:customStyle="1" w:styleId="omsc-two-fifth">
    <w:name w:val="omsc-two-fifth"/>
    <w:basedOn w:val="Normal"/>
    <w:pPr>
      <w:ind w:right="489"/>
    </w:pPr>
  </w:style>
  <w:style w:type="paragraph" w:customStyle="1" w:styleId="omsc-three-fifth">
    <w:name w:val="omsc-three-fifth"/>
    <w:basedOn w:val="Normal"/>
    <w:pPr>
      <w:ind w:right="489"/>
    </w:pPr>
  </w:style>
  <w:style w:type="paragraph" w:customStyle="1" w:styleId="omsc-four-fifth">
    <w:name w:val="omsc-four-fifth"/>
    <w:basedOn w:val="Normal"/>
    <w:pPr>
      <w:ind w:right="489"/>
    </w:pPr>
  </w:style>
  <w:style w:type="paragraph" w:customStyle="1" w:styleId="omsc-one-sixth">
    <w:name w:val="omsc-one-sixth"/>
    <w:basedOn w:val="Normal"/>
    <w:pPr>
      <w:ind w:right="489"/>
    </w:pPr>
  </w:style>
  <w:style w:type="paragraph" w:customStyle="1" w:styleId="omsc-five-sixth">
    <w:name w:val="omsc-five-sixth"/>
    <w:basedOn w:val="Normal"/>
    <w:pPr>
      <w:ind w:right="489"/>
    </w:pPr>
  </w:style>
  <w:style w:type="paragraph" w:customStyle="1" w:styleId="omsc-button">
    <w:name w:val="omsc-button"/>
    <w:basedOn w:val="Normal"/>
    <w:pPr>
      <w:pBdr>
        <w:top w:val="single" w:sz="6" w:space="4" w:color="777777"/>
        <w:left w:val="single" w:sz="6" w:space="16" w:color="777777"/>
        <w:bottom w:val="single" w:sz="2" w:space="5" w:color="777777"/>
        <w:right w:val="single" w:sz="6" w:space="16" w:color="777777"/>
      </w:pBdr>
      <w:shd w:val="clear" w:color="auto" w:fill="777777"/>
      <w:spacing w:after="96"/>
      <w:ind w:right="120"/>
      <w:jc w:val="center"/>
    </w:pPr>
    <w:rPr>
      <w:color w:val="FFFFFF"/>
    </w:rPr>
  </w:style>
  <w:style w:type="paragraph" w:customStyle="1" w:styleId="omsc-tooltip">
    <w:name w:val="omsc-tooltip"/>
    <w:basedOn w:val="Normal"/>
    <w:pPr>
      <w:spacing w:after="100" w:afterAutospacing="1"/>
      <w:ind w:left="-1215"/>
    </w:pPr>
    <w:rPr>
      <w:vanish/>
    </w:rPr>
  </w:style>
  <w:style w:type="paragraph" w:customStyle="1" w:styleId="omsc-tooltip-inner">
    <w:name w:val="omsc-tooltip-inner"/>
    <w:basedOn w:val="Normal"/>
    <w:pPr>
      <w:pBdr>
        <w:top w:val="single" w:sz="6" w:space="5" w:color="CCCCCC"/>
        <w:left w:val="single" w:sz="6" w:space="6" w:color="CCCCCC"/>
        <w:bottom w:val="single" w:sz="6" w:space="5" w:color="CCCCCC"/>
        <w:right w:val="single" w:sz="6" w:space="6" w:color="CCCCCC"/>
      </w:pBdr>
      <w:shd w:val="clear" w:color="auto" w:fill="FFFFFF"/>
      <w:spacing w:before="100" w:beforeAutospacing="1" w:after="100" w:afterAutospacing="1" w:line="240" w:lineRule="atLeast"/>
      <w:jc w:val="center"/>
    </w:pPr>
    <w:rPr>
      <w:sz w:val="17"/>
      <w:szCs w:val="17"/>
    </w:rPr>
  </w:style>
  <w:style w:type="paragraph" w:customStyle="1" w:styleId="omsc-divider">
    <w:name w:val="omsc-divider"/>
    <w:basedOn w:val="Normal"/>
    <w:pPr>
      <w:pBdr>
        <w:top w:val="single" w:sz="6" w:space="0" w:color="auto"/>
      </w:pBdr>
      <w:spacing w:before="240" w:after="240"/>
    </w:pPr>
  </w:style>
  <w:style w:type="paragraph" w:customStyle="1" w:styleId="omsc-dropcap">
    <w:name w:val="omsc-dropcap"/>
    <w:basedOn w:val="Normal"/>
    <w:pPr>
      <w:spacing w:before="29"/>
      <w:ind w:right="48"/>
    </w:pPr>
  </w:style>
  <w:style w:type="paragraph" w:customStyle="1" w:styleId="omsc-toggle">
    <w:name w:val="omsc-toggle"/>
    <w:basedOn w:val="Normal"/>
    <w:pPr>
      <w:pBdr>
        <w:top w:val="single" w:sz="6" w:space="0" w:color="E1E1E1"/>
        <w:left w:val="single" w:sz="6" w:space="0" w:color="E1E1E1"/>
        <w:bottom w:val="single" w:sz="6" w:space="0" w:color="E1E1E1"/>
        <w:right w:val="single" w:sz="6" w:space="0" w:color="E1E1E1"/>
      </w:pBdr>
      <w:spacing w:before="240" w:after="240"/>
    </w:pPr>
  </w:style>
  <w:style w:type="paragraph" w:customStyle="1" w:styleId="omsc-toggle-title">
    <w:name w:val="omsc-toggle-title"/>
    <w:basedOn w:val="Normal"/>
    <w:pPr>
      <w:pBdr>
        <w:bottom w:val="single" w:sz="6" w:space="7" w:color="E1E1E1"/>
      </w:pBdr>
      <w:spacing w:before="100" w:beforeAutospacing="1"/>
    </w:pPr>
  </w:style>
  <w:style w:type="paragraph" w:customStyle="1" w:styleId="omsc-toggle-inner">
    <w:name w:val="omsc-toggle-inner"/>
    <w:basedOn w:val="Normal"/>
    <w:pPr>
      <w:spacing w:before="100" w:beforeAutospacing="1" w:after="100" w:afterAutospacing="1"/>
    </w:pPr>
    <w:rPr>
      <w:vanish/>
    </w:rPr>
  </w:style>
  <w:style w:type="paragraph" w:customStyle="1" w:styleId="omsc-accordion">
    <w:name w:val="omsc-accordion"/>
    <w:basedOn w:val="Normal"/>
    <w:pPr>
      <w:pBdr>
        <w:top w:val="single" w:sz="6" w:space="0" w:color="E1E1E1"/>
      </w:pBdr>
      <w:spacing w:before="240" w:after="240"/>
    </w:pPr>
  </w:style>
  <w:style w:type="paragraph" w:customStyle="1" w:styleId="omsc-tabs">
    <w:name w:val="omsc-tabs"/>
    <w:basedOn w:val="Normal"/>
    <w:pPr>
      <w:spacing w:before="240" w:after="240"/>
    </w:pPr>
  </w:style>
  <w:style w:type="paragraph" w:customStyle="1" w:styleId="omsc-tabs-control">
    <w:name w:val="omsc-tabs-control"/>
    <w:basedOn w:val="Normal"/>
  </w:style>
  <w:style w:type="paragraph" w:customStyle="1" w:styleId="omsc-tabs-tabs">
    <w:name w:val="omsc-tabs-tabs"/>
    <w:basedOn w:val="Normal"/>
    <w:pPr>
      <w:pBdr>
        <w:top w:val="single" w:sz="2" w:space="7" w:color="E1E1E1"/>
        <w:left w:val="single" w:sz="6" w:space="12" w:color="E1E1E1"/>
        <w:bottom w:val="single" w:sz="6" w:space="7" w:color="E1E1E1"/>
        <w:right w:val="single" w:sz="6" w:space="12" w:color="E1E1E1"/>
      </w:pBdr>
    </w:pPr>
  </w:style>
  <w:style w:type="paragraph" w:customStyle="1" w:styleId="omsc-infobox">
    <w:name w:val="omsc-infobox"/>
    <w:basedOn w:val="Normal"/>
    <w:pPr>
      <w:pBdr>
        <w:top w:val="single" w:sz="6" w:space="8" w:color="777777"/>
        <w:left w:val="single" w:sz="6" w:space="12" w:color="777777"/>
        <w:bottom w:val="single" w:sz="6" w:space="8" w:color="777777"/>
        <w:right w:val="single" w:sz="6" w:space="12" w:color="777777"/>
      </w:pBdr>
      <w:shd w:val="clear" w:color="auto" w:fill="777777"/>
      <w:spacing w:before="240" w:after="240"/>
    </w:pPr>
    <w:rPr>
      <w:color w:val="FFFFFF"/>
    </w:rPr>
  </w:style>
  <w:style w:type="paragraph" w:customStyle="1" w:styleId="omsc-biginfobox">
    <w:name w:val="omsc-biginfobox"/>
    <w:basedOn w:val="Normal"/>
    <w:pPr>
      <w:pBdr>
        <w:top w:val="single" w:sz="6" w:space="0" w:color="777777"/>
        <w:left w:val="single" w:sz="6" w:space="0" w:color="777777"/>
        <w:bottom w:val="single" w:sz="6" w:space="0" w:color="777777"/>
        <w:right w:val="single" w:sz="6" w:space="0" w:color="777777"/>
      </w:pBdr>
      <w:shd w:val="clear" w:color="auto" w:fill="777777"/>
      <w:spacing w:before="480" w:after="480"/>
    </w:pPr>
    <w:rPr>
      <w:color w:val="FFFFFF"/>
    </w:rPr>
  </w:style>
  <w:style w:type="paragraph" w:customStyle="1" w:styleId="omsc-box">
    <w:name w:val="omsc-box"/>
    <w:basedOn w:val="Normal"/>
    <w:pPr>
      <w:pBdr>
        <w:top w:val="single" w:sz="2" w:space="1" w:color="auto"/>
        <w:left w:val="single" w:sz="2" w:space="12" w:color="auto"/>
        <w:bottom w:val="single" w:sz="2" w:space="1" w:color="auto"/>
        <w:right w:val="single" w:sz="2" w:space="12" w:color="auto"/>
      </w:pBdr>
      <w:spacing w:before="240" w:after="240"/>
    </w:pPr>
  </w:style>
  <w:style w:type="paragraph" w:customStyle="1" w:styleId="omsc-box-inner">
    <w:name w:val="omsc-box-inner"/>
    <w:basedOn w:val="Normal"/>
    <w:pPr>
      <w:spacing w:before="240" w:after="240"/>
    </w:pPr>
  </w:style>
  <w:style w:type="paragraph" w:customStyle="1" w:styleId="omsc-box-title">
    <w:name w:val="omsc-box-title"/>
    <w:basedOn w:val="Normal"/>
    <w:pPr>
      <w:spacing w:before="240" w:after="240"/>
    </w:pPr>
    <w:rPr>
      <w:b/>
      <w:bCs/>
      <w:sz w:val="31"/>
      <w:szCs w:val="31"/>
    </w:rPr>
  </w:style>
  <w:style w:type="paragraph" w:customStyle="1" w:styleId="omsc-box-icon-wrapper">
    <w:name w:val="omsc-box-icon-wrapper"/>
    <w:basedOn w:val="Normal"/>
    <w:pPr>
      <w:spacing w:before="100" w:beforeAutospacing="1" w:after="100" w:afterAutospacing="1"/>
      <w:ind w:left="-252"/>
    </w:pPr>
    <w:rPr>
      <w:sz w:val="48"/>
      <w:szCs w:val="48"/>
    </w:rPr>
  </w:style>
  <w:style w:type="paragraph" w:customStyle="1" w:styleId="omsc-box-icon">
    <w:name w:val="omsc-box-icon"/>
    <w:basedOn w:val="Normal"/>
    <w:pPr>
      <w:pBdr>
        <w:top w:val="single" w:sz="24" w:space="0" w:color="auto"/>
        <w:left w:val="single" w:sz="24" w:space="0" w:color="auto"/>
        <w:bottom w:val="single" w:sz="24" w:space="0" w:color="auto"/>
        <w:right w:val="single" w:sz="24" w:space="0" w:color="auto"/>
      </w:pBdr>
      <w:spacing w:before="100" w:beforeAutospacing="1" w:after="100" w:afterAutospacing="1" w:line="504" w:lineRule="atLeast"/>
      <w:jc w:val="center"/>
    </w:pPr>
  </w:style>
  <w:style w:type="paragraph" w:customStyle="1" w:styleId="omsc-marker">
    <w:name w:val="omsc-marker"/>
    <w:basedOn w:val="Normal"/>
    <w:pPr>
      <w:shd w:val="clear" w:color="auto" w:fill="FFFCAC"/>
    </w:pPr>
  </w:style>
  <w:style w:type="paragraph" w:customStyle="1" w:styleId="omsc-custom-table">
    <w:name w:val="omsc-custom-table"/>
    <w:basedOn w:val="Normal"/>
    <w:pPr>
      <w:spacing w:before="240" w:after="240"/>
    </w:pPr>
  </w:style>
  <w:style w:type="paragraph" w:customStyle="1" w:styleId="omsc-responsive-box">
    <w:name w:val="omsc-responsive-box"/>
    <w:basedOn w:val="Normal"/>
    <w:pPr>
      <w:spacing w:before="100" w:beforeAutospacing="1" w:after="100" w:afterAutospacing="1"/>
    </w:pPr>
  </w:style>
  <w:style w:type="paragraph" w:customStyle="1" w:styleId="omsc-responsive-box-video">
    <w:name w:val="omsc-responsive-box-video"/>
    <w:basedOn w:val="Normal"/>
    <w:pPr>
      <w:spacing w:before="480" w:after="480"/>
    </w:pPr>
  </w:style>
  <w:style w:type="paragraph" w:customStyle="1" w:styleId="omsc-responsive-box-map">
    <w:name w:val="omsc-responsive-box-map"/>
    <w:basedOn w:val="Normal"/>
    <w:pPr>
      <w:spacing w:before="480" w:after="480"/>
    </w:pPr>
  </w:style>
  <w:style w:type="paragraph" w:customStyle="1" w:styleId="omsc-visibility-tablet">
    <w:name w:val="omsc-visibility-tablet"/>
    <w:basedOn w:val="Normal"/>
    <w:pPr>
      <w:spacing w:before="100" w:beforeAutospacing="1" w:after="100" w:afterAutospacing="1"/>
    </w:pPr>
    <w:rPr>
      <w:vanish/>
    </w:rPr>
  </w:style>
  <w:style w:type="paragraph" w:customStyle="1" w:styleId="omsc-visibility-mobile">
    <w:name w:val="omsc-visibility-mobile"/>
    <w:basedOn w:val="Normal"/>
    <w:pPr>
      <w:spacing w:before="100" w:beforeAutospacing="1" w:after="100" w:afterAutospacing="1"/>
    </w:pPr>
    <w:rPr>
      <w:vanish/>
    </w:rPr>
  </w:style>
  <w:style w:type="paragraph" w:customStyle="1" w:styleId="omsc-visibility-desktop">
    <w:name w:val="omsc-visibility-desktop"/>
    <w:basedOn w:val="Normal"/>
    <w:pPr>
      <w:spacing w:before="100" w:beforeAutospacing="1" w:after="100" w:afterAutospacing="1"/>
    </w:pPr>
  </w:style>
  <w:style w:type="paragraph" w:customStyle="1" w:styleId="omsc-visibility-retina">
    <w:name w:val="omsc-visibility-retina"/>
    <w:basedOn w:val="Normal"/>
    <w:pPr>
      <w:spacing w:before="100" w:beforeAutospacing="1" w:after="100" w:afterAutospacing="1"/>
    </w:pPr>
    <w:rPr>
      <w:vanish/>
    </w:rPr>
  </w:style>
  <w:style w:type="paragraph" w:customStyle="1" w:styleId="omsc-pricing-table-wrapper">
    <w:name w:val="omsc-pricing-table-wrapper"/>
    <w:basedOn w:val="Normal"/>
    <w:pPr>
      <w:spacing w:before="240" w:after="240"/>
      <w:jc w:val="center"/>
    </w:pPr>
  </w:style>
  <w:style w:type="paragraph" w:customStyle="1" w:styleId="omsc-pricing-table">
    <w:name w:val="omsc-pricing-table"/>
    <w:basedOn w:val="Normal"/>
    <w:pPr>
      <w:spacing w:before="100" w:beforeAutospacing="1" w:after="100" w:afterAutospacing="1"/>
    </w:pPr>
  </w:style>
  <w:style w:type="paragraph" w:customStyle="1" w:styleId="omsc-pricing-column">
    <w:name w:val="omsc-pricing-column"/>
    <w:basedOn w:val="Normal"/>
    <w:pPr>
      <w:shd w:val="clear" w:color="auto" w:fill="FFFFFF"/>
      <w:spacing w:before="100" w:beforeAutospacing="1" w:after="100" w:afterAutospacing="1"/>
    </w:pPr>
  </w:style>
  <w:style w:type="paragraph" w:customStyle="1" w:styleId="omsc-recent-posts-item">
    <w:name w:val="omsc-recent-posts-item"/>
    <w:basedOn w:val="Normal"/>
    <w:pPr>
      <w:spacing w:before="100" w:beforeAutospacing="1" w:after="4"/>
    </w:pPr>
  </w:style>
  <w:style w:type="paragraph" w:customStyle="1" w:styleId="omsc-recent-posts-date">
    <w:name w:val="omsc-recent-posts-date"/>
    <w:basedOn w:val="Normal"/>
    <w:pPr>
      <w:spacing w:before="120" w:after="120"/>
    </w:pPr>
    <w:rPr>
      <w:color w:val="777777"/>
    </w:rPr>
  </w:style>
  <w:style w:type="paragraph" w:customStyle="1" w:styleId="omsc-recent-posts-excerpt">
    <w:name w:val="omsc-recent-posts-excerpt"/>
    <w:basedOn w:val="Normal"/>
    <w:pPr>
      <w:spacing w:before="100" w:beforeAutospacing="1" w:after="100" w:afterAutospacing="1"/>
    </w:pPr>
    <w:rPr>
      <w:sz w:val="22"/>
      <w:szCs w:val="22"/>
    </w:rPr>
  </w:style>
  <w:style w:type="paragraph" w:customStyle="1" w:styleId="omsc-logos">
    <w:name w:val="omsc-logos"/>
    <w:basedOn w:val="Normal"/>
    <w:pPr>
      <w:spacing w:before="240" w:after="240"/>
      <w:jc w:val="center"/>
    </w:pPr>
  </w:style>
  <w:style w:type="paragraph" w:customStyle="1" w:styleId="omsc-counter">
    <w:name w:val="omsc-counter"/>
    <w:basedOn w:val="Normal"/>
    <w:pPr>
      <w:spacing w:before="100" w:beforeAutospacing="1" w:after="100" w:afterAutospacing="1"/>
      <w:jc w:val="center"/>
    </w:pPr>
  </w:style>
  <w:style w:type="paragraph" w:customStyle="1" w:styleId="omsc-counter-number">
    <w:name w:val="omsc-counter-number"/>
    <w:basedOn w:val="Normal"/>
    <w:pPr>
      <w:spacing w:before="100" w:beforeAutospacing="1" w:after="100" w:afterAutospacing="1"/>
    </w:pPr>
    <w:rPr>
      <w:sz w:val="84"/>
      <w:szCs w:val="84"/>
    </w:rPr>
  </w:style>
  <w:style w:type="paragraph" w:customStyle="1" w:styleId="people">
    <w:name w:val="people"/>
    <w:basedOn w:val="Normal"/>
    <w:pPr>
      <w:spacing w:before="100" w:beforeAutospacing="1" w:after="100" w:afterAutospacing="1"/>
    </w:pPr>
  </w:style>
  <w:style w:type="paragraph" w:customStyle="1" w:styleId="person">
    <w:name w:val="person"/>
    <w:basedOn w:val="Normal"/>
    <w:pPr>
      <w:spacing w:before="150"/>
      <w:ind w:right="244"/>
    </w:pPr>
  </w:style>
  <w:style w:type="paragraph" w:customStyle="1" w:styleId="galname">
    <w:name w:val="gal_name"/>
    <w:basedOn w:val="Normal"/>
    <w:pPr>
      <w:spacing w:before="100" w:beforeAutospacing="1" w:after="100" w:afterAutospacing="1"/>
    </w:pPr>
    <w:rPr>
      <w:b/>
      <w:bCs/>
      <w:sz w:val="18"/>
      <w:szCs w:val="18"/>
    </w:rPr>
  </w:style>
  <w:style w:type="paragraph" w:customStyle="1" w:styleId="galtitle">
    <w:name w:val="gal_title"/>
    <w:basedOn w:val="Normal"/>
    <w:pPr>
      <w:spacing w:before="100" w:beforeAutospacing="1" w:after="100" w:afterAutospacing="1"/>
    </w:pPr>
    <w:rPr>
      <w:sz w:val="18"/>
      <w:szCs w:val="18"/>
    </w:rPr>
  </w:style>
  <w:style w:type="paragraph" w:customStyle="1" w:styleId="svg-icon-tw">
    <w:name w:val="svg-icon-tw"/>
    <w:basedOn w:val="Normal"/>
    <w:pPr>
      <w:spacing w:before="100" w:beforeAutospacing="1" w:after="100" w:afterAutospacing="1"/>
    </w:pPr>
  </w:style>
  <w:style w:type="paragraph" w:customStyle="1" w:styleId="svg-icon-li">
    <w:name w:val="svg-icon-li"/>
    <w:basedOn w:val="Normal"/>
    <w:pPr>
      <w:spacing w:before="100" w:beforeAutospacing="1" w:after="100" w:afterAutospacing="1"/>
    </w:pPr>
  </w:style>
  <w:style w:type="paragraph" w:customStyle="1" w:styleId="svg-icon-fb">
    <w:name w:val="svg-icon-fb"/>
    <w:basedOn w:val="Normal"/>
    <w:pPr>
      <w:spacing w:before="100" w:beforeAutospacing="1" w:after="100" w:afterAutospacing="1"/>
    </w:pPr>
  </w:style>
  <w:style w:type="paragraph" w:customStyle="1" w:styleId="personcontent">
    <w:name w:val="person_content"/>
    <w:basedOn w:val="Normal"/>
    <w:pPr>
      <w:spacing w:before="100" w:beforeAutospacing="1" w:after="100" w:afterAutospacing="1"/>
      <w:ind w:right="1224"/>
    </w:pPr>
  </w:style>
  <w:style w:type="paragraph" w:customStyle="1" w:styleId="personsidebar">
    <w:name w:val="person_sidebar"/>
    <w:basedOn w:val="Normal"/>
    <w:pPr>
      <w:spacing w:before="100" w:beforeAutospacing="1" w:after="100" w:afterAutospacing="1"/>
    </w:pPr>
  </w:style>
  <w:style w:type="paragraph" w:customStyle="1" w:styleId="genericon">
    <w:name w:val="genericon"/>
    <w:basedOn w:val="Normal"/>
    <w:pPr>
      <w:spacing w:before="100" w:beforeAutospacing="1" w:after="100" w:afterAutospacing="1"/>
      <w:jc w:val="center"/>
      <w:textAlignment w:val="top"/>
    </w:pPr>
    <w:rPr>
      <w:rFonts w:ascii="Genericons" w:hAnsi="Genericons"/>
    </w:r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pPr>
  </w:style>
  <w:style w:type="paragraph" w:customStyle="1" w:styleId="img-responsive">
    <w:name w:val="img-responsive"/>
    <w:basedOn w:val="Normal"/>
    <w:pPr>
      <w:spacing w:before="100" w:beforeAutospacing="1" w:after="100" w:afterAutospacing="1"/>
    </w:pPr>
  </w:style>
  <w:style w:type="paragraph" w:customStyle="1" w:styleId="sr-only">
    <w:name w:val="sr-only"/>
    <w:basedOn w:val="Normal"/>
    <w:pPr>
      <w:ind w:left="-15" w:right="-15"/>
    </w:pPr>
  </w:style>
  <w:style w:type="paragraph" w:customStyle="1" w:styleId="h1">
    <w:name w:val="h1"/>
    <w:basedOn w:val="Normal"/>
    <w:pPr>
      <w:spacing w:before="375" w:after="188"/>
    </w:pPr>
    <w:rPr>
      <w:rFonts w:ascii="Helvetica" w:hAnsi="Helvetica" w:cs="Helvetica"/>
      <w:b/>
      <w:bCs/>
      <w:sz w:val="48"/>
      <w:szCs w:val="48"/>
    </w:rPr>
  </w:style>
  <w:style w:type="paragraph" w:customStyle="1" w:styleId="h2">
    <w:name w:val="h2"/>
    <w:basedOn w:val="Normal"/>
    <w:pPr>
      <w:spacing w:before="375" w:after="188"/>
    </w:pPr>
    <w:rPr>
      <w:rFonts w:ascii="Helvetica" w:hAnsi="Helvetica" w:cs="Helvetica"/>
      <w:b/>
      <w:bCs/>
      <w:sz w:val="42"/>
      <w:szCs w:val="42"/>
    </w:rPr>
  </w:style>
  <w:style w:type="paragraph" w:customStyle="1" w:styleId="h3">
    <w:name w:val="h3"/>
    <w:basedOn w:val="Normal"/>
    <w:pPr>
      <w:spacing w:before="375" w:after="188"/>
    </w:pPr>
    <w:rPr>
      <w:rFonts w:ascii="Helvetica" w:hAnsi="Helvetica" w:cs="Helvetica"/>
      <w:b/>
      <w:bCs/>
      <w:sz w:val="36"/>
      <w:szCs w:val="36"/>
    </w:rPr>
  </w:style>
  <w:style w:type="paragraph" w:customStyle="1" w:styleId="h4">
    <w:name w:val="h4"/>
    <w:basedOn w:val="Normal"/>
    <w:pPr>
      <w:spacing w:before="188" w:after="188"/>
    </w:pPr>
    <w:rPr>
      <w:rFonts w:ascii="Helvetica" w:hAnsi="Helvetica" w:cs="Helvetica"/>
      <w:b/>
      <w:bCs/>
      <w:sz w:val="27"/>
      <w:szCs w:val="27"/>
    </w:rPr>
  </w:style>
  <w:style w:type="paragraph" w:customStyle="1" w:styleId="h5">
    <w:name w:val="h5"/>
    <w:basedOn w:val="Normal"/>
    <w:pPr>
      <w:spacing w:before="188" w:after="188"/>
    </w:pPr>
    <w:rPr>
      <w:rFonts w:ascii="Helvetica" w:hAnsi="Helvetica" w:cs="Helvetica"/>
      <w:b/>
      <w:bCs/>
      <w:sz w:val="21"/>
      <w:szCs w:val="21"/>
    </w:rPr>
  </w:style>
  <w:style w:type="paragraph" w:customStyle="1" w:styleId="h6">
    <w:name w:val="h6"/>
    <w:basedOn w:val="Normal"/>
    <w:pPr>
      <w:spacing w:before="188" w:after="188"/>
    </w:pPr>
    <w:rPr>
      <w:rFonts w:ascii="Helvetica" w:hAnsi="Helvetica" w:cs="Helvetica"/>
      <w:b/>
      <w:bCs/>
      <w:sz w:val="18"/>
      <w:szCs w:val="18"/>
    </w:rPr>
  </w:style>
  <w:style w:type="paragraph" w:customStyle="1" w:styleId="lead">
    <w:name w:val="lead"/>
    <w:basedOn w:val="Normal"/>
    <w:pPr>
      <w:spacing w:before="100" w:beforeAutospacing="1" w:after="375"/>
    </w:pPr>
  </w:style>
  <w:style w:type="paragraph" w:customStyle="1" w:styleId="small">
    <w:name w:val="small"/>
    <w:basedOn w:val="Normal"/>
    <w:pPr>
      <w:spacing w:before="100" w:beforeAutospacing="1" w:after="100" w:afterAutospacing="1"/>
    </w:pPr>
    <w:rPr>
      <w:sz w:val="20"/>
      <w:szCs w:val="20"/>
    </w:rPr>
  </w:style>
  <w:style w:type="paragraph" w:customStyle="1" w:styleId="list-inline">
    <w:name w:val="list-inline"/>
    <w:basedOn w:val="Normal"/>
    <w:pPr>
      <w:spacing w:before="100" w:beforeAutospacing="1" w:after="100" w:afterAutospacing="1"/>
      <w:ind w:left="-75"/>
    </w:pPr>
  </w:style>
  <w:style w:type="paragraph" w:customStyle="1" w:styleId="list-unstyled">
    <w:name w:val="list-unstyled"/>
    <w:basedOn w:val="Normal"/>
    <w:pPr>
      <w:spacing w:before="100" w:beforeAutospacing="1" w:after="100" w:afterAutospacing="1"/>
    </w:pPr>
  </w:style>
  <w:style w:type="paragraph" w:customStyle="1" w:styleId="text-left">
    <w:name w:val="text-left"/>
    <w:basedOn w:val="Normal"/>
    <w:pPr>
      <w:spacing w:before="100" w:beforeAutospacing="1" w:after="100" w:afterAutospacing="1"/>
    </w:pPr>
  </w:style>
  <w:style w:type="paragraph" w:customStyle="1" w:styleId="text-right">
    <w:name w:val="text-right"/>
    <w:basedOn w:val="Normal"/>
    <w:pPr>
      <w:spacing w:before="100" w:beforeAutospacing="1" w:after="100" w:afterAutospacing="1"/>
      <w:jc w:val="right"/>
    </w:pPr>
  </w:style>
  <w:style w:type="paragraph" w:customStyle="1" w:styleId="text-center">
    <w:name w:val="text-center"/>
    <w:basedOn w:val="Normal"/>
    <w:pPr>
      <w:spacing w:before="100" w:beforeAutospacing="1" w:after="100" w:afterAutospacing="1"/>
      <w:jc w:val="center"/>
    </w:pPr>
  </w:style>
  <w:style w:type="paragraph" w:customStyle="1" w:styleId="text-justify">
    <w:name w:val="text-justify"/>
    <w:basedOn w:val="Normal"/>
    <w:pPr>
      <w:spacing w:before="100" w:beforeAutospacing="1" w:after="100" w:afterAutospacing="1"/>
      <w:jc w:val="both"/>
    </w:pPr>
  </w:style>
  <w:style w:type="paragraph" w:customStyle="1" w:styleId="text-nowrap">
    <w:name w:val="text-nowrap"/>
    <w:basedOn w:val="Normal"/>
    <w:pPr>
      <w:spacing w:before="100" w:beforeAutospacing="1" w:after="100" w:afterAutospacing="1"/>
    </w:pPr>
  </w:style>
  <w:style w:type="paragraph" w:customStyle="1" w:styleId="text-uppercase">
    <w:name w:val="text-uppercase"/>
    <w:basedOn w:val="Normal"/>
    <w:pPr>
      <w:spacing w:before="100" w:beforeAutospacing="1" w:after="100" w:afterAutospacing="1"/>
    </w:pPr>
    <w:rPr>
      <w:caps/>
    </w:rPr>
  </w:style>
  <w:style w:type="paragraph" w:customStyle="1" w:styleId="text-muted">
    <w:name w:val="text-muted"/>
    <w:basedOn w:val="Normal"/>
    <w:pPr>
      <w:spacing w:before="100" w:beforeAutospacing="1" w:after="100" w:afterAutospacing="1"/>
    </w:pPr>
    <w:rPr>
      <w:color w:val="A7A9AC"/>
    </w:rPr>
  </w:style>
  <w:style w:type="paragraph" w:customStyle="1" w:styleId="text-primary">
    <w:name w:val="text-primary"/>
    <w:basedOn w:val="Normal"/>
    <w:pPr>
      <w:spacing w:before="100" w:beforeAutospacing="1" w:after="100" w:afterAutospacing="1"/>
    </w:pPr>
    <w:rPr>
      <w:color w:val="FF8200"/>
    </w:rPr>
  </w:style>
  <w:style w:type="paragraph" w:customStyle="1" w:styleId="text-success">
    <w:name w:val="text-success"/>
    <w:basedOn w:val="Normal"/>
    <w:pPr>
      <w:spacing w:before="100" w:beforeAutospacing="1" w:after="100" w:afterAutospacing="1"/>
    </w:pPr>
    <w:rPr>
      <w:color w:val="E65933"/>
    </w:rPr>
  </w:style>
  <w:style w:type="paragraph" w:customStyle="1" w:styleId="text-info">
    <w:name w:val="text-info"/>
    <w:basedOn w:val="Normal"/>
    <w:pPr>
      <w:spacing w:before="100" w:beforeAutospacing="1" w:after="100" w:afterAutospacing="1"/>
    </w:pPr>
    <w:rPr>
      <w:color w:val="A7A9AC"/>
    </w:rPr>
  </w:style>
  <w:style w:type="paragraph" w:customStyle="1" w:styleId="text-warning">
    <w:name w:val="text-warning"/>
    <w:basedOn w:val="Normal"/>
    <w:pPr>
      <w:spacing w:before="100" w:beforeAutospacing="1" w:after="100" w:afterAutospacing="1"/>
    </w:pPr>
    <w:rPr>
      <w:color w:val="EBEA64"/>
    </w:rPr>
  </w:style>
  <w:style w:type="paragraph" w:customStyle="1" w:styleId="text-danger">
    <w:name w:val="text-danger"/>
    <w:basedOn w:val="Normal"/>
    <w:pPr>
      <w:spacing w:before="100" w:beforeAutospacing="1" w:after="100" w:afterAutospacing="1"/>
    </w:pPr>
    <w:rPr>
      <w:color w:val="754A7E"/>
    </w:rPr>
  </w:style>
  <w:style w:type="paragraph" w:customStyle="1" w:styleId="bg-primary">
    <w:name w:val="bg-primary"/>
    <w:basedOn w:val="Normal"/>
    <w:pPr>
      <w:shd w:val="clear" w:color="auto" w:fill="FF8200"/>
      <w:spacing w:before="100" w:beforeAutospacing="1" w:after="100" w:afterAutospacing="1"/>
    </w:pPr>
    <w:rPr>
      <w:color w:val="FFFFFF"/>
    </w:rPr>
  </w:style>
  <w:style w:type="paragraph" w:customStyle="1" w:styleId="bg-success">
    <w:name w:val="bg-success"/>
    <w:basedOn w:val="Normal"/>
    <w:pPr>
      <w:shd w:val="clear" w:color="auto" w:fill="DFF0D8"/>
      <w:spacing w:before="100" w:beforeAutospacing="1" w:after="100" w:afterAutospacing="1"/>
    </w:pPr>
  </w:style>
  <w:style w:type="paragraph" w:customStyle="1" w:styleId="bg-info">
    <w:name w:val="bg-info"/>
    <w:basedOn w:val="Normal"/>
    <w:pPr>
      <w:shd w:val="clear" w:color="auto" w:fill="D9EDF7"/>
      <w:spacing w:before="100" w:beforeAutospacing="1" w:after="100" w:afterAutospacing="1"/>
    </w:pPr>
  </w:style>
  <w:style w:type="paragraph" w:customStyle="1" w:styleId="bg-warning">
    <w:name w:val="bg-warning"/>
    <w:basedOn w:val="Normal"/>
    <w:pPr>
      <w:shd w:val="clear" w:color="auto" w:fill="FCF8E3"/>
      <w:spacing w:before="100" w:beforeAutospacing="1" w:after="100" w:afterAutospacing="1"/>
    </w:pPr>
  </w:style>
  <w:style w:type="paragraph" w:customStyle="1" w:styleId="bg-danger">
    <w:name w:val="bg-danger"/>
    <w:basedOn w:val="Normal"/>
    <w:pPr>
      <w:shd w:val="clear" w:color="auto" w:fill="F2DEDE"/>
      <w:spacing w:before="100" w:beforeAutospacing="1" w:after="100" w:afterAutospacing="1"/>
    </w:pPr>
  </w:style>
  <w:style w:type="paragraph" w:customStyle="1" w:styleId="page-header">
    <w:name w:val="page-header"/>
    <w:basedOn w:val="Normal"/>
    <w:pPr>
      <w:pBdr>
        <w:bottom w:val="single" w:sz="6" w:space="9" w:color="F6F6F6"/>
      </w:pBdr>
      <w:spacing w:before="750" w:after="375"/>
    </w:pPr>
  </w:style>
  <w:style w:type="paragraph" w:customStyle="1" w:styleId="list-inlineli">
    <w:name w:val="list-inline&gt;li"/>
    <w:basedOn w:val="Normal"/>
    <w:pPr>
      <w:spacing w:before="100" w:beforeAutospacing="1" w:after="100" w:afterAutospacing="1"/>
    </w:pPr>
  </w:style>
  <w:style w:type="paragraph" w:customStyle="1" w:styleId="initialism">
    <w:name w:val="initialism"/>
    <w:basedOn w:val="Normal"/>
    <w:pPr>
      <w:spacing w:before="100" w:beforeAutospacing="1" w:after="100" w:afterAutospacing="1"/>
    </w:pPr>
    <w:rPr>
      <w:caps/>
      <w:sz w:val="22"/>
      <w:szCs w:val="22"/>
    </w:rPr>
  </w:style>
  <w:style w:type="paragraph" w:customStyle="1" w:styleId="blockquote-reverse">
    <w:name w:val="blockquote-reverse"/>
    <w:basedOn w:val="Normal"/>
    <w:pPr>
      <w:pBdr>
        <w:right w:val="single" w:sz="36" w:space="11" w:color="F6F6F6"/>
      </w:pBdr>
      <w:spacing w:before="100" w:beforeAutospacing="1" w:after="100" w:afterAutospacing="1"/>
      <w:jc w:val="right"/>
    </w:pPr>
  </w:style>
  <w:style w:type="paragraph" w:customStyle="1" w:styleId="table">
    <w:name w:val="table"/>
    <w:basedOn w:val="Normal"/>
    <w:pPr>
      <w:spacing w:before="100" w:beforeAutospacing="1" w:after="375"/>
    </w:pPr>
  </w:style>
  <w:style w:type="paragraph" w:customStyle="1" w:styleId="table-condensedtbodytrtd">
    <w:name w:val="table-condensed&gt;tbody&gt;tr&gt;td"/>
    <w:basedOn w:val="Normal"/>
    <w:pPr>
      <w:spacing w:before="100" w:beforeAutospacing="1" w:after="100" w:afterAutospacing="1"/>
    </w:pPr>
  </w:style>
  <w:style w:type="paragraph" w:customStyle="1" w:styleId="table-condensedtbodytrth">
    <w:name w:val="table-condensed&gt;tbody&gt;tr&gt;th"/>
    <w:basedOn w:val="Normal"/>
    <w:pPr>
      <w:spacing w:before="100" w:beforeAutospacing="1" w:after="100" w:afterAutospacing="1"/>
    </w:pPr>
  </w:style>
  <w:style w:type="paragraph" w:customStyle="1" w:styleId="table-condensedtfoottrtd">
    <w:name w:val="table-condensed&gt;tfoot&gt;tr&gt;td"/>
    <w:basedOn w:val="Normal"/>
    <w:pPr>
      <w:spacing w:before="100" w:beforeAutospacing="1" w:after="100" w:afterAutospacing="1"/>
    </w:pPr>
  </w:style>
  <w:style w:type="paragraph" w:customStyle="1" w:styleId="table-condensedtfoottrth">
    <w:name w:val="table-condensed&gt;tfoot&gt;tr&gt;th"/>
    <w:basedOn w:val="Normal"/>
    <w:pPr>
      <w:spacing w:before="100" w:beforeAutospacing="1" w:after="100" w:afterAutospacing="1"/>
    </w:pPr>
  </w:style>
  <w:style w:type="paragraph" w:customStyle="1" w:styleId="table-condensedtheadtrtd">
    <w:name w:val="table-condensed&gt;thead&gt;tr&gt;td"/>
    <w:basedOn w:val="Normal"/>
    <w:pPr>
      <w:spacing w:before="100" w:beforeAutospacing="1" w:after="100" w:afterAutospacing="1"/>
    </w:pPr>
  </w:style>
  <w:style w:type="paragraph" w:customStyle="1" w:styleId="table-condensedtheadtrth">
    <w:name w:val="table-condensed&gt;thead&gt;tr&gt;th"/>
    <w:basedOn w:val="Normal"/>
    <w:pPr>
      <w:spacing w:before="100" w:beforeAutospacing="1" w:after="100" w:afterAutospacing="1"/>
    </w:pPr>
  </w:style>
  <w:style w:type="paragraph" w:customStyle="1" w:styleId="table-bordered">
    <w:name w:val="table-bordered"/>
    <w:basedOn w:val="Normal"/>
    <w:pPr>
      <w:pBdr>
        <w:top w:val="single" w:sz="6" w:space="0" w:color="DBDCDE"/>
        <w:left w:val="single" w:sz="6" w:space="0" w:color="DBDCDE"/>
        <w:bottom w:val="single" w:sz="6" w:space="0" w:color="DBDCDE"/>
        <w:right w:val="single" w:sz="6" w:space="0" w:color="DBDCDE"/>
      </w:pBdr>
      <w:spacing w:before="100" w:beforeAutospacing="1" w:after="100" w:afterAutospacing="1"/>
    </w:pPr>
  </w:style>
  <w:style w:type="paragraph" w:customStyle="1" w:styleId="table-borderedtbodytrtd">
    <w:name w:val="table-bordered&gt;tbody&gt;tr&gt;td"/>
    <w:basedOn w:val="Normal"/>
    <w:pPr>
      <w:pBdr>
        <w:top w:val="single" w:sz="6" w:space="0" w:color="DBDCDE"/>
        <w:left w:val="single" w:sz="6" w:space="0" w:color="DBDCDE"/>
        <w:bottom w:val="single" w:sz="6" w:space="0" w:color="DBDCDE"/>
        <w:right w:val="single" w:sz="6" w:space="0" w:color="DBDCDE"/>
      </w:pBdr>
      <w:spacing w:before="100" w:beforeAutospacing="1" w:after="100" w:afterAutospacing="1"/>
    </w:pPr>
  </w:style>
  <w:style w:type="paragraph" w:customStyle="1" w:styleId="table-borderedtbodytrth">
    <w:name w:val="table-bordered&gt;tbody&gt;tr&gt;th"/>
    <w:basedOn w:val="Normal"/>
    <w:pPr>
      <w:pBdr>
        <w:top w:val="single" w:sz="6" w:space="0" w:color="DBDCDE"/>
        <w:left w:val="single" w:sz="6" w:space="0" w:color="DBDCDE"/>
        <w:bottom w:val="single" w:sz="6" w:space="0" w:color="DBDCDE"/>
        <w:right w:val="single" w:sz="6" w:space="0" w:color="DBDCDE"/>
      </w:pBdr>
      <w:spacing w:before="100" w:beforeAutospacing="1" w:after="100" w:afterAutospacing="1"/>
    </w:pPr>
  </w:style>
  <w:style w:type="paragraph" w:customStyle="1" w:styleId="table-borderedtfoottrtd">
    <w:name w:val="table-bordered&gt;tfoot&gt;tr&gt;td"/>
    <w:basedOn w:val="Normal"/>
    <w:pPr>
      <w:pBdr>
        <w:top w:val="single" w:sz="6" w:space="0" w:color="DBDCDE"/>
        <w:left w:val="single" w:sz="6" w:space="0" w:color="DBDCDE"/>
        <w:bottom w:val="single" w:sz="6" w:space="0" w:color="DBDCDE"/>
        <w:right w:val="single" w:sz="6" w:space="0" w:color="DBDCDE"/>
      </w:pBdr>
      <w:spacing w:before="100" w:beforeAutospacing="1" w:after="100" w:afterAutospacing="1"/>
    </w:pPr>
  </w:style>
  <w:style w:type="paragraph" w:customStyle="1" w:styleId="table-borderedtfoottrth">
    <w:name w:val="table-bordered&gt;tfoot&gt;tr&gt;th"/>
    <w:basedOn w:val="Normal"/>
    <w:pPr>
      <w:pBdr>
        <w:top w:val="single" w:sz="6" w:space="0" w:color="DBDCDE"/>
        <w:left w:val="single" w:sz="6" w:space="0" w:color="DBDCDE"/>
        <w:bottom w:val="single" w:sz="6" w:space="0" w:color="DBDCDE"/>
        <w:right w:val="single" w:sz="6" w:space="0" w:color="DBDCDE"/>
      </w:pBdr>
      <w:spacing w:before="100" w:beforeAutospacing="1" w:after="100" w:afterAutospacing="1"/>
    </w:pPr>
  </w:style>
  <w:style w:type="paragraph" w:customStyle="1" w:styleId="table-borderedtheadtrtd">
    <w:name w:val="table-bordered&gt;thead&gt;tr&gt;td"/>
    <w:basedOn w:val="Normal"/>
    <w:pPr>
      <w:pBdr>
        <w:top w:val="single" w:sz="6" w:space="0" w:color="DBDCDE"/>
        <w:left w:val="single" w:sz="6" w:space="0" w:color="DBDCDE"/>
        <w:bottom w:val="single" w:sz="12" w:space="0" w:color="DBDCDE"/>
        <w:right w:val="single" w:sz="6" w:space="0" w:color="DBDCDE"/>
      </w:pBdr>
      <w:spacing w:before="100" w:beforeAutospacing="1" w:after="100" w:afterAutospacing="1"/>
    </w:pPr>
  </w:style>
  <w:style w:type="paragraph" w:customStyle="1" w:styleId="table-borderedtheadtrth">
    <w:name w:val="table-bordered&gt;thead&gt;tr&gt;th"/>
    <w:basedOn w:val="Normal"/>
    <w:pPr>
      <w:pBdr>
        <w:top w:val="single" w:sz="6" w:space="0" w:color="DBDCDE"/>
        <w:left w:val="single" w:sz="6" w:space="0" w:color="DBDCDE"/>
        <w:bottom w:val="single" w:sz="12" w:space="0" w:color="DBDCDE"/>
        <w:right w:val="single" w:sz="6" w:space="0" w:color="DBDCDE"/>
      </w:pBdr>
      <w:spacing w:before="100" w:beforeAutospacing="1" w:after="100" w:afterAutospacing="1"/>
    </w:pPr>
  </w:style>
  <w:style w:type="paragraph" w:customStyle="1" w:styleId="checkbox-inline">
    <w:name w:val="checkbox-inline"/>
    <w:basedOn w:val="Normal"/>
    <w:pPr>
      <w:spacing w:before="100" w:beforeAutospacing="1"/>
      <w:textAlignment w:val="center"/>
    </w:pPr>
  </w:style>
  <w:style w:type="paragraph" w:customStyle="1" w:styleId="radio-inline">
    <w:name w:val="radio-inline"/>
    <w:basedOn w:val="Normal"/>
    <w:pPr>
      <w:spacing w:before="100" w:beforeAutospacing="1"/>
      <w:textAlignment w:val="center"/>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pPr>
  </w:style>
  <w:style w:type="paragraph" w:customStyle="1" w:styleId="form-group">
    <w:name w:val="form-group"/>
    <w:basedOn w:val="Normal"/>
    <w:pPr>
      <w:spacing w:before="100" w:beforeAutospacing="1" w:after="225"/>
    </w:pPr>
  </w:style>
  <w:style w:type="paragraph" w:customStyle="1" w:styleId="checkbox">
    <w:name w:val="checkbox"/>
    <w:basedOn w:val="Normal"/>
    <w:pPr>
      <w:spacing w:before="150" w:after="150"/>
    </w:pPr>
  </w:style>
  <w:style w:type="paragraph" w:customStyle="1" w:styleId="radio">
    <w:name w:val="radio"/>
    <w:basedOn w:val="Normal"/>
    <w:pPr>
      <w:spacing w:before="150" w:after="150"/>
    </w:pPr>
  </w:style>
  <w:style w:type="paragraph" w:customStyle="1" w:styleId="form-control-static">
    <w:name w:val="form-control-static"/>
    <w:basedOn w:val="Normal"/>
    <w:pPr>
      <w:spacing w:before="100" w:beforeAutospacing="1"/>
    </w:pPr>
  </w:style>
  <w:style w:type="paragraph" w:customStyle="1" w:styleId="form-control-feedback">
    <w:name w:val="form-control-feedback"/>
    <w:basedOn w:val="Normal"/>
    <w:pPr>
      <w:spacing w:before="100" w:beforeAutospacing="1" w:after="100" w:afterAutospacing="1" w:line="585" w:lineRule="atLeast"/>
      <w:jc w:val="center"/>
    </w:pPr>
  </w:style>
  <w:style w:type="paragraph" w:customStyle="1" w:styleId="help-block">
    <w:name w:val="help-block"/>
    <w:basedOn w:val="Normal"/>
    <w:pPr>
      <w:spacing w:before="75" w:after="150"/>
    </w:pPr>
    <w:rPr>
      <w:color w:val="98999B"/>
    </w:rPr>
  </w:style>
  <w:style w:type="paragraph" w:customStyle="1" w:styleId="btn-default">
    <w:name w:val="btn-default"/>
    <w:basedOn w:val="Normal"/>
    <w:pPr>
      <w:shd w:val="clear" w:color="auto" w:fill="FFFFFF"/>
      <w:spacing w:before="100" w:beforeAutospacing="1" w:after="100" w:afterAutospacing="1"/>
    </w:pPr>
    <w:rPr>
      <w:color w:val="333333"/>
    </w:rPr>
  </w:style>
  <w:style w:type="paragraph" w:customStyle="1" w:styleId="btn-primary">
    <w:name w:val="btn-primary"/>
    <w:basedOn w:val="Normal"/>
    <w:pPr>
      <w:shd w:val="clear" w:color="auto" w:fill="FF8200"/>
      <w:spacing w:before="100" w:beforeAutospacing="1" w:after="100" w:afterAutospacing="1"/>
    </w:pPr>
    <w:rPr>
      <w:color w:val="FFFFFF"/>
    </w:rPr>
  </w:style>
  <w:style w:type="paragraph" w:customStyle="1" w:styleId="btn-success">
    <w:name w:val="btn-success"/>
    <w:basedOn w:val="Normal"/>
    <w:pPr>
      <w:shd w:val="clear" w:color="auto" w:fill="E65933"/>
      <w:spacing w:before="100" w:beforeAutospacing="1" w:after="100" w:afterAutospacing="1"/>
    </w:pPr>
    <w:rPr>
      <w:color w:val="FFFFFF"/>
    </w:rPr>
  </w:style>
  <w:style w:type="paragraph" w:customStyle="1" w:styleId="btn-info">
    <w:name w:val="btn-info"/>
    <w:basedOn w:val="Normal"/>
    <w:pPr>
      <w:shd w:val="clear" w:color="auto" w:fill="A7A9AC"/>
      <w:spacing w:before="100" w:beforeAutospacing="1" w:after="100" w:afterAutospacing="1"/>
    </w:pPr>
    <w:rPr>
      <w:color w:val="FFFFFF"/>
    </w:rPr>
  </w:style>
  <w:style w:type="paragraph" w:customStyle="1" w:styleId="btn-warning">
    <w:name w:val="btn-warning"/>
    <w:basedOn w:val="Normal"/>
    <w:pPr>
      <w:shd w:val="clear" w:color="auto" w:fill="EBEA64"/>
      <w:spacing w:before="100" w:beforeAutospacing="1" w:after="100" w:afterAutospacing="1"/>
    </w:pPr>
    <w:rPr>
      <w:color w:val="FFFFFF"/>
    </w:rPr>
  </w:style>
  <w:style w:type="paragraph" w:customStyle="1" w:styleId="btn-danger">
    <w:name w:val="btn-danger"/>
    <w:basedOn w:val="Normal"/>
    <w:pPr>
      <w:shd w:val="clear" w:color="auto" w:fill="754A7E"/>
      <w:spacing w:before="100" w:beforeAutospacing="1" w:after="100" w:afterAutospacing="1"/>
    </w:pPr>
    <w:rPr>
      <w:color w:val="FFFFFF"/>
    </w:rPr>
  </w:style>
  <w:style w:type="paragraph" w:customStyle="1" w:styleId="container">
    <w:name w:val="container"/>
    <w:basedOn w:val="Normal"/>
  </w:style>
  <w:style w:type="paragraph" w:customStyle="1" w:styleId="site-main">
    <w:name w:val="site-main"/>
    <w:basedOn w:val="Normal"/>
  </w:style>
  <w:style w:type="paragraph" w:customStyle="1" w:styleId="hentry">
    <w:name w:val="hentry"/>
    <w:basedOn w:val="Normal"/>
    <w:pPr>
      <w:spacing w:after="300"/>
    </w:pPr>
  </w:style>
  <w:style w:type="paragraph" w:customStyle="1" w:styleId="sidebar-offcanvas">
    <w:name w:val="sidebar-offcanvas"/>
    <w:basedOn w:val="Normal"/>
    <w:pPr>
      <w:pBdr>
        <w:left w:val="single" w:sz="12" w:space="0" w:color="A7A9AC"/>
      </w:pBdr>
      <w:shd w:val="clear" w:color="auto" w:fill="F6F6F6"/>
      <w:spacing w:before="100" w:beforeAutospacing="1" w:after="100" w:afterAutospacing="1"/>
    </w:pPr>
  </w:style>
  <w:style w:type="paragraph" w:customStyle="1" w:styleId="aligncenter">
    <w:name w:val="aligncenter"/>
    <w:basedOn w:val="Normal"/>
    <w:pPr>
      <w:spacing w:before="100" w:beforeAutospacing="1" w:after="100" w:afterAutospacing="1"/>
    </w:pPr>
  </w:style>
  <w:style w:type="paragraph" w:customStyle="1" w:styleId="wp-caption">
    <w:name w:val="wp-caption"/>
    <w:basedOn w:val="Normal"/>
    <w:pPr>
      <w:spacing w:before="100" w:beforeAutospacing="1" w:after="360"/>
    </w:pPr>
  </w:style>
  <w:style w:type="paragraph" w:customStyle="1" w:styleId="wp-caption-text">
    <w:name w:val="wp-caption-text"/>
    <w:basedOn w:val="Normal"/>
    <w:pPr>
      <w:spacing w:before="135" w:after="135"/>
    </w:pPr>
    <w:rPr>
      <w:i/>
      <w:iCs/>
      <w:sz w:val="18"/>
      <w:szCs w:val="18"/>
    </w:rPr>
  </w:style>
  <w:style w:type="paragraph" w:customStyle="1" w:styleId="post-thumbnail">
    <w:name w:val="post-thumbnail"/>
    <w:basedOn w:val="Normal"/>
    <w:pPr>
      <w:shd w:val="clear" w:color="auto" w:fill="B2B2B2"/>
      <w:spacing w:before="100" w:beforeAutospacing="1" w:after="100" w:afterAutospacing="1"/>
    </w:pPr>
  </w:style>
  <w:style w:type="paragraph" w:customStyle="1" w:styleId="post-navigation">
    <w:name w:val="post-navigation"/>
    <w:basedOn w:val="Normal"/>
    <w:pPr>
      <w:spacing w:before="100" w:beforeAutospacing="1" w:after="1080"/>
    </w:pPr>
  </w:style>
  <w:style w:type="paragraph" w:customStyle="1" w:styleId="entry-content">
    <w:name w:val="entry-content"/>
    <w:basedOn w:val="Normal"/>
  </w:style>
  <w:style w:type="paragraph" w:customStyle="1" w:styleId="entry-header">
    <w:name w:val="entry-header"/>
    <w:basedOn w:val="Normal"/>
  </w:style>
  <w:style w:type="paragraph" w:customStyle="1" w:styleId="entry-meta">
    <w:name w:val="entry-meta"/>
    <w:basedOn w:val="Normal"/>
    <w:rPr>
      <w:i/>
      <w:iCs/>
      <w:color w:val="A7A9AC"/>
      <w:sz w:val="18"/>
      <w:szCs w:val="18"/>
    </w:rPr>
  </w:style>
  <w:style w:type="paragraph" w:customStyle="1" w:styleId="entry-summary">
    <w:name w:val="entry-summary"/>
    <w:basedOn w:val="Normal"/>
  </w:style>
  <w:style w:type="paragraph" w:customStyle="1" w:styleId="entry-metaspan">
    <w:name w:val="entry-meta&gt;span"/>
    <w:basedOn w:val="Normal"/>
    <w:pPr>
      <w:spacing w:before="100" w:beforeAutospacing="1" w:after="100" w:afterAutospacing="1"/>
      <w:ind w:right="300"/>
    </w:pPr>
  </w:style>
  <w:style w:type="paragraph" w:customStyle="1" w:styleId="gallery">
    <w:name w:val="gallery"/>
    <w:basedOn w:val="Normal"/>
    <w:pPr>
      <w:spacing w:before="100" w:beforeAutospacing="1" w:after="300"/>
    </w:pPr>
  </w:style>
  <w:style w:type="paragraph" w:customStyle="1" w:styleId="gallery-item">
    <w:name w:val="gallery-item"/>
    <w:basedOn w:val="Normal"/>
    <w:pPr>
      <w:spacing w:after="60"/>
      <w:ind w:right="60"/>
    </w:pPr>
  </w:style>
  <w:style w:type="paragraph" w:customStyle="1" w:styleId="gallery-caption">
    <w:name w:val="gallery-caption"/>
    <w:basedOn w:val="Normal"/>
    <w:pPr>
      <w:shd w:val="clear" w:color="auto" w:fill="58595B"/>
    </w:pPr>
    <w:rPr>
      <w:color w:val="FFFFFF"/>
      <w:sz w:val="18"/>
      <w:szCs w:val="18"/>
    </w:rPr>
  </w:style>
  <w:style w:type="paragraph" w:customStyle="1" w:styleId="contributor">
    <w:name w:val="contributor"/>
    <w:basedOn w:val="Normal"/>
    <w:pPr>
      <w:spacing w:before="100" w:beforeAutospacing="1" w:after="100" w:afterAutospacing="1"/>
    </w:pPr>
  </w:style>
  <w:style w:type="paragraph" w:customStyle="1" w:styleId="contributor-info">
    <w:name w:val="contributor-info"/>
    <w:basedOn w:val="Normal"/>
  </w:style>
  <w:style w:type="paragraph" w:customStyle="1" w:styleId="contributor-avatar">
    <w:name w:val="contributor-avatar"/>
    <w:basedOn w:val="Normal"/>
    <w:pPr>
      <w:spacing w:after="300"/>
      <w:ind w:right="450"/>
    </w:pPr>
  </w:style>
  <w:style w:type="paragraph" w:customStyle="1" w:styleId="contributor-name">
    <w:name w:val="contributor-name"/>
    <w:basedOn w:val="Normal"/>
    <w:rPr>
      <w:b/>
      <w:bCs/>
    </w:rPr>
  </w:style>
  <w:style w:type="paragraph" w:customStyle="1" w:styleId="contributor-posts-link">
    <w:name w:val="contributor-posts-link"/>
    <w:basedOn w:val="Normal"/>
    <w:pPr>
      <w:spacing w:before="100" w:beforeAutospacing="1" w:after="100" w:afterAutospacing="1"/>
    </w:pPr>
  </w:style>
  <w:style w:type="paragraph" w:customStyle="1" w:styleId="bg-scr">
    <w:name w:val="bg-scr"/>
    <w:basedOn w:val="Normal"/>
    <w:pPr>
      <w:spacing w:before="100" w:beforeAutospacing="1" w:after="100" w:afterAutospacing="1"/>
    </w:pPr>
    <w:rPr>
      <w:vanish/>
    </w:rPr>
  </w:style>
  <w:style w:type="paragraph" w:customStyle="1" w:styleId="says">
    <w:name w:val="says"/>
    <w:basedOn w:val="Normal"/>
    <w:pPr>
      <w:spacing w:before="100" w:beforeAutospacing="1" w:after="100" w:afterAutospacing="1"/>
    </w:pPr>
    <w:rPr>
      <w:vanish/>
    </w:rPr>
  </w:style>
  <w:style w:type="paragraph" w:customStyle="1" w:styleId="comments-area">
    <w:name w:val="comments-area"/>
    <w:basedOn w:val="Normal"/>
    <w:pPr>
      <w:spacing w:before="270" w:after="270"/>
    </w:pPr>
  </w:style>
  <w:style w:type="paragraph" w:customStyle="1" w:styleId="comment-reply-title">
    <w:name w:val="comment-reply-title"/>
    <w:basedOn w:val="Normal"/>
    <w:rPr>
      <w:caps/>
    </w:rPr>
  </w:style>
  <w:style w:type="paragraph" w:customStyle="1" w:styleId="comments-title">
    <w:name w:val="comments-title"/>
    <w:basedOn w:val="Normal"/>
    <w:rPr>
      <w:caps/>
    </w:rPr>
  </w:style>
  <w:style w:type="paragraph" w:customStyle="1" w:styleId="comment-list">
    <w:name w:val="comment-list"/>
    <w:basedOn w:val="Normal"/>
    <w:pPr>
      <w:spacing w:after="720"/>
    </w:pPr>
  </w:style>
  <w:style w:type="paragraph" w:customStyle="1" w:styleId="comment-author">
    <w:name w:val="comment-author"/>
    <w:basedOn w:val="Normal"/>
    <w:pPr>
      <w:spacing w:before="100" w:beforeAutospacing="1" w:after="100" w:afterAutospacing="1"/>
    </w:pPr>
    <w:rPr>
      <w:sz w:val="21"/>
      <w:szCs w:val="21"/>
    </w:rPr>
  </w:style>
  <w:style w:type="paragraph" w:customStyle="1" w:styleId="comment-metadata">
    <w:name w:val="comment-metadata"/>
    <w:basedOn w:val="Normal"/>
    <w:pPr>
      <w:spacing w:before="100" w:beforeAutospacing="1" w:after="100" w:afterAutospacing="1" w:line="480" w:lineRule="auto"/>
    </w:pPr>
    <w:rPr>
      <w:caps/>
      <w:sz w:val="18"/>
      <w:szCs w:val="18"/>
    </w:rPr>
  </w:style>
  <w:style w:type="paragraph" w:customStyle="1" w:styleId="comment-awaiting-moderation">
    <w:name w:val="comment-awaiting-moderation"/>
    <w:basedOn w:val="Normal"/>
    <w:pPr>
      <w:spacing w:before="100" w:beforeAutospacing="1" w:after="100" w:afterAutospacing="1"/>
    </w:pPr>
    <w:rPr>
      <w:color w:val="58595B"/>
      <w:sz w:val="21"/>
      <w:szCs w:val="21"/>
    </w:rPr>
  </w:style>
  <w:style w:type="paragraph" w:customStyle="1" w:styleId="comment-content">
    <w:name w:val="comment-content"/>
    <w:basedOn w:val="Normal"/>
    <w:pPr>
      <w:spacing w:before="100" w:beforeAutospacing="1" w:after="100" w:afterAutospacing="1"/>
    </w:pPr>
  </w:style>
  <w:style w:type="paragraph" w:customStyle="1" w:styleId="comment-edit-link">
    <w:name w:val="comment-edit-link"/>
    <w:basedOn w:val="Normal"/>
    <w:pPr>
      <w:spacing w:before="100" w:beforeAutospacing="1" w:after="100" w:afterAutospacing="1"/>
      <w:ind w:left="150"/>
    </w:pPr>
  </w:style>
  <w:style w:type="paragraph" w:customStyle="1" w:styleId="comment-respond">
    <w:name w:val="comment-respond"/>
    <w:basedOn w:val="Normal"/>
    <w:pPr>
      <w:spacing w:before="100" w:beforeAutospacing="1" w:after="420"/>
    </w:pPr>
  </w:style>
  <w:style w:type="paragraph" w:customStyle="1" w:styleId="comment-notes">
    <w:name w:val="comment-notes"/>
    <w:basedOn w:val="Normal"/>
    <w:pPr>
      <w:spacing w:before="100" w:beforeAutospacing="1" w:after="100" w:afterAutospacing="1"/>
    </w:pPr>
    <w:rPr>
      <w:color w:val="58595B"/>
      <w:sz w:val="21"/>
      <w:szCs w:val="21"/>
    </w:rPr>
  </w:style>
  <w:style w:type="paragraph" w:customStyle="1" w:styleId="form-allowed-tags">
    <w:name w:val="form-allowed-tags"/>
    <w:basedOn w:val="Normal"/>
    <w:pPr>
      <w:spacing w:before="100" w:beforeAutospacing="1" w:after="100" w:afterAutospacing="1"/>
    </w:pPr>
    <w:rPr>
      <w:color w:val="58595B"/>
      <w:sz w:val="18"/>
      <w:szCs w:val="18"/>
    </w:rPr>
  </w:style>
  <w:style w:type="paragraph" w:customStyle="1" w:styleId="logged-in-as">
    <w:name w:val="logged-in-as"/>
    <w:basedOn w:val="Normal"/>
    <w:pPr>
      <w:spacing w:before="100" w:beforeAutospacing="1" w:after="100" w:afterAutospacing="1"/>
    </w:pPr>
    <w:rPr>
      <w:color w:val="58595B"/>
      <w:sz w:val="21"/>
      <w:szCs w:val="21"/>
    </w:rPr>
  </w:style>
  <w:style w:type="paragraph" w:customStyle="1" w:styleId="no-comments">
    <w:name w:val="no-comments"/>
    <w:basedOn w:val="Normal"/>
    <w:pPr>
      <w:spacing w:before="210" w:after="100" w:afterAutospacing="1"/>
    </w:pPr>
    <w:rPr>
      <w:caps/>
      <w:color w:val="58595B"/>
      <w:sz w:val="27"/>
      <w:szCs w:val="27"/>
    </w:rPr>
  </w:style>
  <w:style w:type="paragraph" w:customStyle="1" w:styleId="required">
    <w:name w:val="required"/>
    <w:basedOn w:val="Normal"/>
    <w:pPr>
      <w:spacing w:before="100" w:beforeAutospacing="1" w:after="100" w:afterAutospacing="1"/>
    </w:pPr>
    <w:rPr>
      <w:color w:val="E65933"/>
    </w:rPr>
  </w:style>
  <w:style w:type="paragraph" w:customStyle="1" w:styleId="comment-navigation">
    <w:name w:val="comment-navigation"/>
    <w:basedOn w:val="Normal"/>
    <w:pPr>
      <w:spacing w:before="100" w:beforeAutospacing="1" w:after="840" w:line="480" w:lineRule="auto"/>
    </w:pPr>
    <w:rPr>
      <w:caps/>
      <w:sz w:val="18"/>
      <w:szCs w:val="18"/>
    </w:rPr>
  </w:style>
  <w:style w:type="paragraph" w:customStyle="1" w:styleId="widget">
    <w:name w:val="widget"/>
    <w:basedOn w:val="Normal"/>
    <w:pPr>
      <w:shd w:val="clear" w:color="auto" w:fill="FFFFFF"/>
      <w:spacing w:before="150" w:after="100" w:afterAutospacing="1"/>
    </w:pPr>
  </w:style>
  <w:style w:type="paragraph" w:customStyle="1" w:styleId="widget-area">
    <w:name w:val="widget-area"/>
    <w:basedOn w:val="Normal"/>
    <w:pPr>
      <w:spacing w:before="100" w:beforeAutospacing="1" w:after="100" w:afterAutospacing="1"/>
    </w:pPr>
  </w:style>
  <w:style w:type="paragraph" w:customStyle="1" w:styleId="pagination">
    <w:name w:val="pagination"/>
    <w:basedOn w:val="Normal"/>
    <w:pPr>
      <w:spacing w:before="375" w:after="375"/>
    </w:pPr>
  </w:style>
  <w:style w:type="paragraph" w:customStyle="1" w:styleId="paginationa">
    <w:name w:val="pagination&gt;a"/>
    <w:basedOn w:val="Normal"/>
    <w:pPr>
      <w:pBdr>
        <w:top w:val="single" w:sz="6" w:space="5" w:color="A7A9AC"/>
        <w:left w:val="single" w:sz="6" w:space="9" w:color="A7A9AC"/>
        <w:bottom w:val="single" w:sz="6" w:space="5" w:color="A7A9AC"/>
        <w:right w:val="single" w:sz="6" w:space="9" w:color="A7A9AC"/>
      </w:pBdr>
      <w:shd w:val="clear" w:color="auto" w:fill="FFFFFF"/>
      <w:spacing w:before="100" w:beforeAutospacing="1" w:after="100" w:afterAutospacing="1"/>
      <w:ind w:left="-15"/>
    </w:pPr>
  </w:style>
  <w:style w:type="paragraph" w:customStyle="1" w:styleId="paginationspan">
    <w:name w:val="pagination&gt;span"/>
    <w:basedOn w:val="Normal"/>
    <w:pPr>
      <w:pBdr>
        <w:top w:val="single" w:sz="6" w:space="5" w:color="A7A9AC"/>
        <w:left w:val="single" w:sz="6" w:space="9" w:color="A7A9AC"/>
        <w:bottom w:val="single" w:sz="6" w:space="5" w:color="A7A9AC"/>
        <w:right w:val="single" w:sz="6" w:space="9" w:color="A7A9AC"/>
      </w:pBdr>
      <w:shd w:val="clear" w:color="auto" w:fill="FFFFFF"/>
      <w:spacing w:before="100" w:beforeAutospacing="1" w:after="100" w:afterAutospacing="1"/>
      <w:ind w:left="-15"/>
    </w:pPr>
  </w:style>
  <w:style w:type="paragraph" w:customStyle="1" w:styleId="pagination-lglia">
    <w:name w:val="pagination-lg&gt;li&gt;a"/>
    <w:basedOn w:val="Normal"/>
    <w:pPr>
      <w:spacing w:before="100" w:beforeAutospacing="1" w:after="100" w:afterAutospacing="1"/>
    </w:pPr>
    <w:rPr>
      <w:sz w:val="27"/>
      <w:szCs w:val="27"/>
    </w:rPr>
  </w:style>
  <w:style w:type="paragraph" w:customStyle="1" w:styleId="pagination-lglispan">
    <w:name w:val="pagination-lg&gt;li&gt;span"/>
    <w:basedOn w:val="Normal"/>
    <w:pPr>
      <w:spacing w:before="100" w:beforeAutospacing="1" w:after="100" w:afterAutospacing="1"/>
    </w:pPr>
    <w:rPr>
      <w:sz w:val="27"/>
      <w:szCs w:val="27"/>
    </w:rPr>
  </w:style>
  <w:style w:type="paragraph" w:customStyle="1" w:styleId="pagination-smlia">
    <w:name w:val="pagination-sm&gt;li&gt;a"/>
    <w:basedOn w:val="Normal"/>
    <w:pPr>
      <w:spacing w:before="100" w:beforeAutospacing="1" w:after="100" w:afterAutospacing="1"/>
    </w:pPr>
    <w:rPr>
      <w:sz w:val="18"/>
      <w:szCs w:val="18"/>
    </w:rPr>
  </w:style>
  <w:style w:type="paragraph" w:customStyle="1" w:styleId="pagination-smlispan">
    <w:name w:val="pagination-sm&gt;li&gt;span"/>
    <w:basedOn w:val="Normal"/>
    <w:pPr>
      <w:spacing w:before="100" w:beforeAutospacing="1" w:after="100" w:afterAutospacing="1"/>
    </w:pPr>
    <w:rPr>
      <w:sz w:val="18"/>
      <w:szCs w:val="18"/>
    </w:rPr>
  </w:style>
  <w:style w:type="paragraph" w:customStyle="1" w:styleId="pager">
    <w:name w:val="pager"/>
    <w:basedOn w:val="Normal"/>
    <w:pPr>
      <w:spacing w:before="375" w:after="375"/>
      <w:jc w:val="center"/>
    </w:pPr>
  </w:style>
  <w:style w:type="paragraph" w:customStyle="1" w:styleId="emaillist">
    <w:name w:val="emaillist"/>
    <w:basedOn w:val="Normal"/>
    <w:pPr>
      <w:spacing w:before="100" w:beforeAutospacing="1" w:after="100" w:afterAutospacing="1"/>
    </w:pPr>
  </w:style>
  <w:style w:type="paragraph" w:customStyle="1" w:styleId="btn-link">
    <w:name w:val="btn-link"/>
    <w:basedOn w:val="Normal"/>
    <w:pPr>
      <w:spacing w:before="100" w:beforeAutospacing="1" w:after="100" w:afterAutospacing="1"/>
    </w:pPr>
    <w:rPr>
      <w:color w:val="006C93"/>
    </w:rPr>
  </w:style>
  <w:style w:type="paragraph" w:customStyle="1" w:styleId="btn-block">
    <w:name w:val="btn-block"/>
    <w:basedOn w:val="Normal"/>
    <w:pPr>
      <w:spacing w:before="100" w:beforeAutospacing="1" w:after="100" w:afterAutospacing="1"/>
    </w:pPr>
  </w:style>
  <w:style w:type="paragraph" w:customStyle="1" w:styleId="clearshortcode">
    <w:name w:val="clearshortcode"/>
    <w:basedOn w:val="Normal"/>
  </w:style>
  <w:style w:type="paragraph" w:customStyle="1" w:styleId="box-light">
    <w:name w:val="box-light"/>
    <w:basedOn w:val="Normal"/>
    <w:pPr>
      <w:pBdr>
        <w:top w:val="single" w:sz="6" w:space="9" w:color="DDDDDD"/>
        <w:left w:val="single" w:sz="6" w:space="9" w:color="DDDDDD"/>
        <w:bottom w:val="single" w:sz="6" w:space="9" w:color="DDDDDD"/>
        <w:right w:val="single" w:sz="6" w:space="9" w:color="DDDDDD"/>
      </w:pBdr>
      <w:shd w:val="clear" w:color="auto" w:fill="FFFFFF"/>
      <w:spacing w:before="100" w:beforeAutospacing="1" w:after="375"/>
    </w:pPr>
  </w:style>
  <w:style w:type="paragraph" w:customStyle="1" w:styleId="box">
    <w:name w:val="box"/>
    <w:basedOn w:val="Normal"/>
    <w:pPr>
      <w:shd w:val="clear" w:color="auto" w:fill="58595B"/>
      <w:spacing w:before="100" w:beforeAutospacing="1" w:after="100" w:afterAutospacing="1"/>
    </w:pPr>
    <w:rPr>
      <w:color w:val="FFFFFF"/>
    </w:rPr>
  </w:style>
  <w:style w:type="paragraph" w:customStyle="1" w:styleId="callout">
    <w:name w:val="callout"/>
    <w:basedOn w:val="Normal"/>
    <w:pPr>
      <w:spacing w:before="100" w:beforeAutospacing="1" w:after="100" w:afterAutospacing="1"/>
      <w:jc w:val="right"/>
    </w:pPr>
    <w:rPr>
      <w:b/>
      <w:bCs/>
      <w:color w:val="A7A9AC"/>
      <w:sz w:val="27"/>
      <w:szCs w:val="27"/>
    </w:rPr>
  </w:style>
  <w:style w:type="paragraph" w:customStyle="1" w:styleId="half">
    <w:name w:val="half"/>
    <w:basedOn w:val="Normal"/>
    <w:pPr>
      <w:spacing w:before="100" w:beforeAutospacing="1" w:after="188"/>
      <w:ind w:left="122" w:right="122"/>
    </w:pPr>
  </w:style>
  <w:style w:type="paragraph" w:customStyle="1" w:styleId="leftcolumn">
    <w:name w:val="leftcolumn"/>
    <w:basedOn w:val="Normal"/>
    <w:pPr>
      <w:spacing w:before="100" w:beforeAutospacing="1" w:after="188"/>
      <w:ind w:left="122" w:right="122"/>
    </w:pPr>
  </w:style>
  <w:style w:type="paragraph" w:customStyle="1" w:styleId="rightcolumn">
    <w:name w:val="rightcolumn"/>
    <w:basedOn w:val="Normal"/>
    <w:pPr>
      <w:spacing w:before="100" w:beforeAutospacing="1" w:after="188"/>
      <w:ind w:left="367" w:right="122"/>
    </w:pPr>
  </w:style>
  <w:style w:type="paragraph" w:customStyle="1" w:styleId="collapse">
    <w:name w:val="collapse"/>
    <w:basedOn w:val="Normal"/>
    <w:pPr>
      <w:spacing w:before="100" w:beforeAutospacing="1" w:after="100" w:afterAutospacing="1"/>
    </w:pPr>
    <w:rPr>
      <w:vanish/>
    </w:rPr>
  </w:style>
  <w:style w:type="paragraph" w:customStyle="1" w:styleId="collapsing">
    <w:name w:val="collapsing"/>
    <w:basedOn w:val="Normal"/>
    <w:pPr>
      <w:spacing w:before="100" w:beforeAutospacing="1" w:after="100" w:afterAutospacing="1"/>
    </w:pPr>
  </w:style>
  <w:style w:type="paragraph" w:customStyle="1" w:styleId="btn-group">
    <w:name w:val="btn-group"/>
    <w:basedOn w:val="Normal"/>
    <w:pPr>
      <w:spacing w:before="100" w:beforeAutospacing="1" w:after="100" w:afterAutospacing="1"/>
      <w:textAlignment w:val="center"/>
    </w:pPr>
  </w:style>
  <w:style w:type="paragraph" w:customStyle="1" w:styleId="btn-group-vertical">
    <w:name w:val="btn-group-vertical"/>
    <w:basedOn w:val="Normal"/>
    <w:pPr>
      <w:spacing w:before="100" w:beforeAutospacing="1" w:after="100" w:afterAutospacing="1"/>
      <w:textAlignment w:val="center"/>
    </w:pPr>
  </w:style>
  <w:style w:type="paragraph" w:customStyle="1" w:styleId="btn-toolbar">
    <w:name w:val="btn-toolbar"/>
    <w:basedOn w:val="Normal"/>
    <w:pPr>
      <w:spacing w:before="100" w:beforeAutospacing="1" w:after="100" w:afterAutospacing="1"/>
      <w:ind w:left="-75"/>
    </w:pPr>
  </w:style>
  <w:style w:type="paragraph" w:customStyle="1" w:styleId="btn-group-justified">
    <w:name w:val="btn-group-justified"/>
    <w:basedOn w:val="Normal"/>
    <w:pPr>
      <w:spacing w:before="100" w:beforeAutospacing="1" w:after="100" w:afterAutospacing="1"/>
    </w:pPr>
  </w:style>
  <w:style w:type="paragraph" w:customStyle="1" w:styleId="input-groupclasscol-">
    <w:name w:val="input-group[class*=col-]"/>
    <w:basedOn w:val="Normal"/>
    <w:pPr>
      <w:spacing w:before="100" w:beforeAutospacing="1" w:after="100" w:afterAutospacing="1"/>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F6F6F6"/>
      <w:spacing w:before="100" w:beforeAutospacing="1" w:after="100" w:afterAutospacing="1"/>
      <w:jc w:val="center"/>
      <w:textAlignment w:val="center"/>
    </w:pPr>
    <w:rPr>
      <w:color w:val="A7A9AC"/>
      <w:sz w:val="21"/>
      <w:szCs w:val="21"/>
    </w:rPr>
  </w:style>
  <w:style w:type="paragraph" w:customStyle="1" w:styleId="input-group-btn">
    <w:name w:val="input-group-btn"/>
    <w:basedOn w:val="Normal"/>
    <w:pPr>
      <w:spacing w:before="100" w:beforeAutospacing="1" w:after="100" w:afterAutospacing="1"/>
      <w:textAlignment w:val="center"/>
    </w:pPr>
    <w:rPr>
      <w:sz w:val="2"/>
      <w:szCs w:val="2"/>
    </w:rPr>
  </w:style>
  <w:style w:type="paragraph" w:customStyle="1" w:styleId="nav">
    <w:name w:val="nav"/>
    <w:basedOn w:val="Normal"/>
    <w:pPr>
      <w:spacing w:before="100" w:beforeAutospacing="1"/>
    </w:pPr>
  </w:style>
  <w:style w:type="paragraph" w:customStyle="1" w:styleId="navli">
    <w:name w:val="nav&gt;li"/>
    <w:basedOn w:val="Normal"/>
    <w:pPr>
      <w:spacing w:before="100" w:beforeAutospacing="1" w:after="100" w:afterAutospacing="1"/>
    </w:pPr>
  </w:style>
  <w:style w:type="paragraph" w:customStyle="1" w:styleId="navlia">
    <w:name w:val="nav&gt;li&gt;a"/>
    <w:basedOn w:val="Normal"/>
    <w:pPr>
      <w:spacing w:before="100" w:beforeAutospacing="1" w:after="100" w:afterAutospacing="1"/>
    </w:pPr>
  </w:style>
  <w:style w:type="paragraph" w:customStyle="1" w:styleId="nav-tabs">
    <w:name w:val="nav-tabs"/>
    <w:basedOn w:val="Normal"/>
    <w:pPr>
      <w:pBdr>
        <w:bottom w:val="single" w:sz="6" w:space="0" w:color="DDDDDD"/>
      </w:pBdr>
      <w:spacing w:before="100" w:beforeAutospacing="1" w:after="100" w:afterAutospacing="1"/>
    </w:pPr>
  </w:style>
  <w:style w:type="paragraph" w:customStyle="1" w:styleId="nav-tabsli">
    <w:name w:val="nav-tabs&gt;li"/>
    <w:basedOn w:val="Normal"/>
    <w:pPr>
      <w:spacing w:before="100" w:beforeAutospacing="1"/>
    </w:pPr>
  </w:style>
  <w:style w:type="paragraph" w:customStyle="1" w:styleId="nav-tabslia">
    <w:name w:val="nav-tabs&gt;li&gt;a"/>
    <w:basedOn w:val="Normal"/>
    <w:pPr>
      <w:spacing w:before="100" w:beforeAutospacing="1" w:after="100" w:afterAutospacing="1"/>
      <w:ind w:right="30"/>
    </w:pPr>
  </w:style>
  <w:style w:type="paragraph" w:customStyle="1" w:styleId="navbar">
    <w:name w:val="navbar"/>
    <w:basedOn w:val="Normal"/>
    <w:pPr>
      <w:spacing w:before="100" w:beforeAutospacing="1" w:after="375"/>
    </w:pPr>
  </w:style>
  <w:style w:type="paragraph" w:customStyle="1" w:styleId="navbar-collapse">
    <w:name w:val="navbar-collapse"/>
    <w:basedOn w:val="Normal"/>
    <w:pPr>
      <w:spacing w:before="100" w:beforeAutospacing="1" w:after="100" w:afterAutospacing="1"/>
    </w:pPr>
  </w:style>
  <w:style w:type="paragraph" w:customStyle="1" w:styleId="navbar-static-top">
    <w:name w:val="navbar-static-top"/>
    <w:basedOn w:val="Normal"/>
    <w:pPr>
      <w:spacing w:before="100" w:beforeAutospacing="1" w:after="100" w:afterAutospacing="1"/>
    </w:pPr>
  </w:style>
  <w:style w:type="paragraph" w:customStyle="1" w:styleId="navbar-fixed-top">
    <w:name w:val="navbar-fixed-top"/>
    <w:basedOn w:val="Normal"/>
    <w:pPr>
      <w:spacing w:before="100" w:beforeAutospacing="1" w:after="100" w:afterAutospacing="1"/>
    </w:pPr>
  </w:style>
  <w:style w:type="paragraph" w:customStyle="1" w:styleId="navbar-fixed-bottom">
    <w:name w:val="navbar-fixed-bottom"/>
    <w:basedOn w:val="Normal"/>
    <w:pPr>
      <w:spacing w:before="100" w:beforeAutospacing="1"/>
    </w:pPr>
  </w:style>
  <w:style w:type="paragraph" w:customStyle="1" w:styleId="navbar-brand">
    <w:name w:val="navbar-brand"/>
    <w:basedOn w:val="Normal"/>
    <w:pPr>
      <w:spacing w:before="100" w:beforeAutospacing="1" w:after="100" w:afterAutospacing="1" w:line="375" w:lineRule="atLeast"/>
    </w:pPr>
    <w:rPr>
      <w:sz w:val="27"/>
      <w:szCs w:val="27"/>
    </w:rPr>
  </w:style>
  <w:style w:type="paragraph" w:customStyle="1" w:styleId="navbar-brandimg">
    <w:name w:val="navbar-brand&gt;img"/>
    <w:basedOn w:val="Normal"/>
    <w:pPr>
      <w:spacing w:before="100" w:beforeAutospacing="1" w:after="100" w:afterAutospacing="1"/>
    </w:pPr>
  </w:style>
  <w:style w:type="paragraph" w:customStyle="1" w:styleId="navbar-toggle">
    <w:name w:val="navbar-toggle"/>
    <w:basedOn w:val="Normal"/>
    <w:pPr>
      <w:spacing w:before="120" w:after="120"/>
      <w:ind w:right="225"/>
    </w:pPr>
  </w:style>
  <w:style w:type="paragraph" w:customStyle="1" w:styleId="navbar-nav">
    <w:name w:val="navbar-nav"/>
    <w:basedOn w:val="Normal"/>
    <w:pPr>
      <w:spacing w:before="94" w:after="94"/>
      <w:ind w:left="-225" w:right="-225"/>
    </w:pPr>
  </w:style>
  <w:style w:type="paragraph" w:customStyle="1" w:styleId="navbar-navlia">
    <w:name w:val="navbar-nav&gt;li&gt;a"/>
    <w:basedOn w:val="Normal"/>
    <w:pPr>
      <w:spacing w:before="100" w:beforeAutospacing="1" w:after="100" w:afterAutospacing="1" w:line="375" w:lineRule="atLeast"/>
    </w:pPr>
  </w:style>
  <w:style w:type="paragraph" w:customStyle="1" w:styleId="navbar-form">
    <w:name w:val="navbar-form"/>
    <w:basedOn w:val="Normal"/>
    <w:pPr>
      <w:spacing w:before="83" w:after="83"/>
      <w:ind w:left="-225" w:right="-225"/>
    </w:pPr>
  </w:style>
  <w:style w:type="paragraph" w:customStyle="1" w:styleId="navbar-btn">
    <w:name w:val="navbar-btn"/>
    <w:basedOn w:val="Normal"/>
    <w:pPr>
      <w:spacing w:before="83" w:after="83"/>
    </w:pPr>
  </w:style>
  <w:style w:type="paragraph" w:customStyle="1" w:styleId="navbar-text">
    <w:name w:val="navbar-text"/>
    <w:basedOn w:val="Normal"/>
    <w:pPr>
      <w:spacing w:before="188" w:after="188"/>
    </w:pPr>
  </w:style>
  <w:style w:type="paragraph" w:customStyle="1" w:styleId="navbar-default">
    <w:name w:val="navbar-default"/>
    <w:basedOn w:val="Normal"/>
    <w:pPr>
      <w:shd w:val="clear" w:color="auto" w:fill="F8F8F8"/>
      <w:spacing w:before="100" w:beforeAutospacing="1" w:after="100" w:afterAutospacing="1"/>
    </w:pPr>
  </w:style>
  <w:style w:type="paragraph" w:customStyle="1" w:styleId="navbar-inverse">
    <w:name w:val="navbar-inverse"/>
    <w:basedOn w:val="Normal"/>
    <w:pPr>
      <w:shd w:val="clear" w:color="auto" w:fill="222222"/>
      <w:spacing w:before="100" w:beforeAutospacing="1" w:after="100" w:afterAutospacing="1"/>
    </w:pPr>
  </w:style>
  <w:style w:type="paragraph" w:customStyle="1" w:styleId="label">
    <w:name w:val="label"/>
    <w:basedOn w:val="Normal"/>
    <w:pPr>
      <w:spacing w:before="100" w:beforeAutospacing="1" w:after="100" w:afterAutospacing="1"/>
      <w:jc w:val="center"/>
      <w:textAlignment w:val="baseline"/>
    </w:pPr>
    <w:rPr>
      <w:b/>
      <w:bCs/>
      <w:color w:val="FFFFFF"/>
      <w:sz w:val="18"/>
      <w:szCs w:val="18"/>
    </w:rPr>
  </w:style>
  <w:style w:type="paragraph" w:customStyle="1" w:styleId="label-default">
    <w:name w:val="label-default"/>
    <w:basedOn w:val="Normal"/>
    <w:pPr>
      <w:shd w:val="clear" w:color="auto" w:fill="A7A9AC"/>
      <w:spacing w:before="100" w:beforeAutospacing="1" w:after="100" w:afterAutospacing="1"/>
    </w:pPr>
  </w:style>
  <w:style w:type="paragraph" w:customStyle="1" w:styleId="label-primary">
    <w:name w:val="label-primary"/>
    <w:basedOn w:val="Normal"/>
    <w:pPr>
      <w:shd w:val="clear" w:color="auto" w:fill="FF8200"/>
      <w:spacing w:before="100" w:beforeAutospacing="1" w:after="100" w:afterAutospacing="1"/>
    </w:pPr>
  </w:style>
  <w:style w:type="paragraph" w:customStyle="1" w:styleId="label-success">
    <w:name w:val="label-success"/>
    <w:basedOn w:val="Normal"/>
    <w:pPr>
      <w:shd w:val="clear" w:color="auto" w:fill="E65933"/>
      <w:spacing w:before="100" w:beforeAutospacing="1" w:after="100" w:afterAutospacing="1"/>
    </w:pPr>
  </w:style>
  <w:style w:type="paragraph" w:customStyle="1" w:styleId="label-info">
    <w:name w:val="label-info"/>
    <w:basedOn w:val="Normal"/>
    <w:pPr>
      <w:shd w:val="clear" w:color="auto" w:fill="A7A9AC"/>
      <w:spacing w:before="100" w:beforeAutospacing="1" w:after="100" w:afterAutospacing="1"/>
    </w:pPr>
  </w:style>
  <w:style w:type="paragraph" w:customStyle="1" w:styleId="label-warning">
    <w:name w:val="label-warning"/>
    <w:basedOn w:val="Normal"/>
    <w:pPr>
      <w:shd w:val="clear" w:color="auto" w:fill="EBEA64"/>
      <w:spacing w:before="100" w:beforeAutospacing="1" w:after="100" w:afterAutospacing="1"/>
    </w:pPr>
  </w:style>
  <w:style w:type="paragraph" w:customStyle="1" w:styleId="label-danger">
    <w:name w:val="label-danger"/>
    <w:basedOn w:val="Normal"/>
    <w:pPr>
      <w:shd w:val="clear" w:color="auto" w:fill="754A7E"/>
      <w:spacing w:before="100" w:beforeAutospacing="1" w:after="100" w:afterAutospacing="1"/>
    </w:pPr>
  </w:style>
  <w:style w:type="paragraph" w:customStyle="1" w:styleId="progress">
    <w:name w:val="progress"/>
    <w:basedOn w:val="Normal"/>
    <w:pPr>
      <w:shd w:val="clear" w:color="auto" w:fill="F5F5F5"/>
      <w:spacing w:before="100" w:beforeAutospacing="1" w:after="375"/>
    </w:pPr>
  </w:style>
  <w:style w:type="paragraph" w:customStyle="1" w:styleId="progress-bar">
    <w:name w:val="progress-bar"/>
    <w:basedOn w:val="Normal"/>
    <w:pPr>
      <w:shd w:val="clear" w:color="auto" w:fill="FF8200"/>
      <w:spacing w:before="100" w:beforeAutospacing="1" w:after="100" w:afterAutospacing="1" w:line="375" w:lineRule="atLeast"/>
      <w:jc w:val="center"/>
    </w:pPr>
    <w:rPr>
      <w:color w:val="FFFFFF"/>
      <w:sz w:val="18"/>
      <w:szCs w:val="18"/>
    </w:rPr>
  </w:style>
  <w:style w:type="paragraph" w:customStyle="1" w:styleId="progress-bar-success">
    <w:name w:val="progress-bar-success"/>
    <w:basedOn w:val="Normal"/>
    <w:pPr>
      <w:shd w:val="clear" w:color="auto" w:fill="E65933"/>
      <w:spacing w:before="100" w:beforeAutospacing="1" w:after="100" w:afterAutospacing="1"/>
    </w:pPr>
  </w:style>
  <w:style w:type="paragraph" w:customStyle="1" w:styleId="progress-bar-info">
    <w:name w:val="progress-bar-info"/>
    <w:basedOn w:val="Normal"/>
    <w:pPr>
      <w:shd w:val="clear" w:color="auto" w:fill="A7A9AC"/>
      <w:spacing w:before="100" w:beforeAutospacing="1" w:after="100" w:afterAutospacing="1"/>
    </w:pPr>
  </w:style>
  <w:style w:type="paragraph" w:customStyle="1" w:styleId="progress-bar-warning">
    <w:name w:val="progress-bar-warning"/>
    <w:basedOn w:val="Normal"/>
    <w:pPr>
      <w:shd w:val="clear" w:color="auto" w:fill="EBEA64"/>
      <w:spacing w:before="100" w:beforeAutospacing="1" w:after="100" w:afterAutospacing="1"/>
    </w:pPr>
  </w:style>
  <w:style w:type="paragraph" w:customStyle="1" w:styleId="progress-bar-danger">
    <w:name w:val="progress-bar-danger"/>
    <w:basedOn w:val="Normal"/>
    <w:pPr>
      <w:shd w:val="clear" w:color="auto" w:fill="754A7E"/>
      <w:spacing w:before="100" w:beforeAutospacing="1" w:after="100" w:afterAutospacing="1"/>
    </w:pPr>
  </w:style>
  <w:style w:type="paragraph" w:customStyle="1" w:styleId="panel">
    <w:name w:val="panel"/>
    <w:basedOn w:val="Normal"/>
    <w:pPr>
      <w:shd w:val="clear" w:color="auto" w:fill="FFFFFF"/>
      <w:spacing w:before="100" w:beforeAutospacing="1" w:after="375"/>
    </w:pPr>
  </w:style>
  <w:style w:type="paragraph" w:customStyle="1" w:styleId="panel-footer">
    <w:name w:val="panel-footer"/>
    <w:basedOn w:val="Normal"/>
    <w:pPr>
      <w:pBdr>
        <w:top w:val="single" w:sz="6" w:space="8" w:color="DDDDDD"/>
      </w:pBdr>
      <w:shd w:val="clear" w:color="auto" w:fill="FFFFFF"/>
      <w:spacing w:before="100" w:beforeAutospacing="1" w:after="100" w:afterAutospacing="1"/>
    </w:pPr>
  </w:style>
  <w:style w:type="paragraph" w:customStyle="1" w:styleId="panel-body">
    <w:name w:val="panel-body"/>
    <w:basedOn w:val="Normal"/>
    <w:pPr>
      <w:spacing w:before="100" w:beforeAutospacing="1" w:after="100" w:afterAutospacing="1"/>
    </w:pPr>
  </w:style>
  <w:style w:type="paragraph" w:customStyle="1" w:styleId="panel-heading">
    <w:name w:val="panel-heading"/>
    <w:basedOn w:val="Normal"/>
    <w:pPr>
      <w:spacing w:before="100" w:beforeAutospacing="1" w:after="100" w:afterAutospacing="1"/>
    </w:pPr>
  </w:style>
  <w:style w:type="paragraph" w:customStyle="1" w:styleId="panel-title">
    <w:name w:val="panel-title"/>
    <w:basedOn w:val="Normal"/>
    <w:pPr>
      <w:spacing w:after="100" w:afterAutospacing="1"/>
    </w:pPr>
  </w:style>
  <w:style w:type="paragraph" w:customStyle="1" w:styleId="panel-group">
    <w:name w:val="panel-group"/>
    <w:basedOn w:val="Normal"/>
    <w:pPr>
      <w:spacing w:before="100" w:beforeAutospacing="1" w:after="375"/>
    </w:pPr>
  </w:style>
  <w:style w:type="paragraph" w:customStyle="1" w:styleId="panel-default">
    <w:name w:val="panel-default"/>
    <w:basedOn w:val="Normal"/>
    <w:pPr>
      <w:spacing w:before="100" w:beforeAutospacing="1" w:after="100" w:afterAutospacing="1"/>
    </w:pPr>
  </w:style>
  <w:style w:type="paragraph" w:customStyle="1" w:styleId="panel-primary">
    <w:name w:val="panel-primary"/>
    <w:basedOn w:val="Normal"/>
    <w:pPr>
      <w:spacing w:before="100" w:beforeAutospacing="1" w:after="100" w:afterAutospacing="1"/>
    </w:pPr>
  </w:style>
  <w:style w:type="paragraph" w:customStyle="1" w:styleId="panel-success">
    <w:name w:val="panel-success"/>
    <w:basedOn w:val="Normal"/>
    <w:pPr>
      <w:spacing w:before="100" w:beforeAutospacing="1" w:after="100" w:afterAutospacing="1"/>
    </w:pPr>
  </w:style>
  <w:style w:type="paragraph" w:customStyle="1" w:styleId="panel-info">
    <w:name w:val="panel-info"/>
    <w:basedOn w:val="Normal"/>
    <w:pPr>
      <w:spacing w:before="100" w:beforeAutospacing="1" w:after="100" w:afterAutospacing="1"/>
    </w:pPr>
  </w:style>
  <w:style w:type="paragraph" w:customStyle="1" w:styleId="panel-warning">
    <w:name w:val="panel-warning"/>
    <w:basedOn w:val="Normal"/>
    <w:pPr>
      <w:spacing w:before="100" w:beforeAutospacing="1" w:after="100" w:afterAutospacing="1"/>
    </w:pPr>
  </w:style>
  <w:style w:type="paragraph" w:customStyle="1" w:styleId="panel-danger">
    <w:name w:val="panel-danger"/>
    <w:basedOn w:val="Normal"/>
    <w:pPr>
      <w:spacing w:before="100" w:beforeAutospacing="1" w:after="100" w:afterAutospacing="1"/>
    </w:pPr>
  </w:style>
  <w:style w:type="paragraph" w:customStyle="1" w:styleId="embed-responsive">
    <w:name w:val="embed-responsive"/>
    <w:basedOn w:val="Normal"/>
    <w:pPr>
      <w:spacing w:before="100" w:beforeAutospacing="1" w:after="100" w:afterAutospacing="1"/>
    </w:pPr>
  </w:style>
  <w:style w:type="paragraph" w:customStyle="1" w:styleId="glyphicon">
    <w:name w:val="glyphicon"/>
    <w:basedOn w:val="Normal"/>
  </w:style>
  <w:style w:type="paragraph" w:customStyle="1" w:styleId="modal">
    <w:name w:val="modal"/>
    <w:basedOn w:val="Normal"/>
    <w:pPr>
      <w:spacing w:before="100" w:beforeAutospacing="1" w:after="100" w:afterAutospacing="1"/>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style>
  <w:style w:type="paragraph" w:customStyle="1" w:styleId="modal-backdrop">
    <w:name w:val="modal-backdrop"/>
    <w:basedOn w:val="Normal"/>
    <w:pPr>
      <w:shd w:val="clear" w:color="auto" w:fill="000000"/>
      <w:spacing w:before="100" w:beforeAutospacing="1" w:after="100" w:afterAutospacing="1"/>
    </w:pPr>
  </w:style>
  <w:style w:type="paragraph" w:customStyle="1" w:styleId="modal-header">
    <w:name w:val="modal-header"/>
    <w:basedOn w:val="Normal"/>
    <w:pPr>
      <w:pBdr>
        <w:bottom w:val="single" w:sz="6" w:space="11" w:color="E5E5E5"/>
      </w:pBdr>
      <w:spacing w:before="100" w:beforeAutospacing="1" w:after="100" w:afterAutospacing="1"/>
    </w:pPr>
  </w:style>
  <w:style w:type="paragraph" w:customStyle="1" w:styleId="modal-title">
    <w:name w:val="modal-title"/>
    <w:basedOn w:val="Normal"/>
  </w:style>
  <w:style w:type="paragraph" w:customStyle="1" w:styleId="modal-body">
    <w:name w:val="modal-body"/>
    <w:basedOn w:val="Normal"/>
    <w:pPr>
      <w:spacing w:before="100" w:beforeAutospacing="1" w:after="100" w:afterAutospacing="1"/>
    </w:pPr>
  </w:style>
  <w:style w:type="paragraph" w:customStyle="1" w:styleId="modal-footer">
    <w:name w:val="modal-footer"/>
    <w:basedOn w:val="Normal"/>
    <w:pPr>
      <w:pBdr>
        <w:top w:val="single" w:sz="6" w:space="11" w:color="E5E5E5"/>
      </w:pBdr>
      <w:spacing w:before="100" w:beforeAutospacing="1" w:after="100" w:afterAutospacing="1"/>
      <w:jc w:val="right"/>
    </w:pPr>
  </w:style>
  <w:style w:type="paragraph" w:customStyle="1" w:styleId="modal-scrollbar-measure">
    <w:name w:val="modal-scrollbar-measure"/>
    <w:basedOn w:val="Normal"/>
    <w:pPr>
      <w:spacing w:before="100" w:beforeAutospacing="1" w:after="100" w:afterAutospacing="1"/>
    </w:pPr>
  </w:style>
  <w:style w:type="paragraph" w:customStyle="1" w:styleId="center-block">
    <w:name w:val="center-block"/>
    <w:basedOn w:val="Normal"/>
    <w:pPr>
      <w:spacing w:before="100" w:beforeAutospacing="1" w:after="100" w:afterAutospacing="1"/>
    </w:pPr>
  </w:style>
  <w:style w:type="paragraph" w:customStyle="1" w:styleId="text-hide">
    <w:name w:val="text-hide"/>
    <w:basedOn w:val="Normal"/>
    <w:pPr>
      <w:spacing w:before="100" w:beforeAutospacing="1" w:after="100" w:afterAutospacing="1"/>
    </w:pPr>
  </w:style>
  <w:style w:type="paragraph" w:customStyle="1" w:styleId="searchbox">
    <w:name w:val="searchbox"/>
    <w:basedOn w:val="Normal"/>
    <w:pPr>
      <w:spacing w:before="300" w:after="300"/>
    </w:pPr>
  </w:style>
  <w:style w:type="paragraph" w:customStyle="1" w:styleId="twitter-typeahead">
    <w:name w:val="twitter-typeahead"/>
    <w:basedOn w:val="Normal"/>
    <w:pPr>
      <w:spacing w:before="100" w:beforeAutospacing="1" w:after="100" w:afterAutospacing="1"/>
    </w:pPr>
  </w:style>
  <w:style w:type="paragraph" w:customStyle="1" w:styleId="gist">
    <w:name w:val="gist"/>
    <w:basedOn w:val="Normal"/>
    <w:pPr>
      <w:spacing w:before="100" w:beforeAutospacing="1" w:after="100" w:afterAutospacing="1"/>
    </w:pPr>
    <w:rPr>
      <w:sz w:val="21"/>
      <w:szCs w:val="21"/>
    </w:rPr>
  </w:style>
  <w:style w:type="paragraph" w:customStyle="1" w:styleId="tt-dropdown-menu">
    <w:name w:val="tt-dropdown-menu"/>
    <w:basedOn w:val="Normal"/>
    <w:pPr>
      <w:pBdr>
        <w:top w:val="single" w:sz="6" w:space="6" w:color="CCCCCC"/>
        <w:left w:val="single" w:sz="6" w:space="0" w:color="CCCCCC"/>
        <w:bottom w:val="single" w:sz="6" w:space="6" w:color="CCCCCC"/>
        <w:right w:val="single" w:sz="6" w:space="0" w:color="CCCCCC"/>
      </w:pBdr>
      <w:shd w:val="clear" w:color="auto" w:fill="FFFFFF"/>
      <w:spacing w:before="180" w:after="100" w:afterAutospacing="1"/>
    </w:pPr>
  </w:style>
  <w:style w:type="paragraph" w:customStyle="1" w:styleId="tt-hint">
    <w:name w:val="tt-hint"/>
    <w:basedOn w:val="Normal"/>
    <w:pPr>
      <w:spacing w:before="100" w:beforeAutospacing="1" w:after="100" w:afterAutospacing="1"/>
    </w:pPr>
    <w:rPr>
      <w:color w:val="999999"/>
    </w:rPr>
  </w:style>
  <w:style w:type="paragraph" w:customStyle="1" w:styleId="tt-query">
    <w:name w:val="tt-query"/>
    <w:basedOn w:val="Normal"/>
    <w:pPr>
      <w:spacing w:before="100" w:beforeAutospacing="1" w:after="100" w:afterAutospacing="1"/>
    </w:pPr>
    <w:rPr>
      <w:color w:val="555555"/>
    </w:rPr>
  </w:style>
  <w:style w:type="paragraph" w:customStyle="1" w:styleId="typeahead">
    <w:name w:val="typeahead"/>
    <w:basedOn w:val="Normal"/>
    <w:pPr>
      <w:spacing w:before="100" w:beforeAutospacing="1" w:after="100" w:afterAutospacing="1"/>
    </w:pPr>
    <w:rPr>
      <w:color w:val="555555"/>
    </w:rPr>
  </w:style>
  <w:style w:type="paragraph" w:customStyle="1" w:styleId="tt-suggestion">
    <w:name w:val="tt-suggestion"/>
    <w:basedOn w:val="Normal"/>
    <w:pPr>
      <w:pBdr>
        <w:bottom w:val="dotted" w:sz="6" w:space="8" w:color="CCCCCC"/>
      </w:pBdr>
      <w:spacing w:before="100" w:beforeAutospacing="1" w:after="100" w:afterAutospacing="1"/>
    </w:pPr>
    <w:rPr>
      <w:sz w:val="23"/>
      <w:szCs w:val="23"/>
    </w:rPr>
  </w:style>
  <w:style w:type="paragraph" w:customStyle="1" w:styleId="noresults">
    <w:name w:val="noresults"/>
    <w:basedOn w:val="Normal"/>
    <w:pPr>
      <w:spacing w:before="100" w:beforeAutospacing="1" w:after="100" w:afterAutospacing="1"/>
    </w:pPr>
  </w:style>
  <w:style w:type="paragraph" w:customStyle="1" w:styleId="typeaheadtitle">
    <w:name w:val="typeaheadtitle"/>
    <w:basedOn w:val="Normal"/>
    <w:pPr>
      <w:pBdr>
        <w:bottom w:val="single" w:sz="6" w:space="0" w:color="DDDDDD"/>
      </w:pBdr>
    </w:pPr>
    <w:rPr>
      <w:color w:val="566069"/>
    </w:rPr>
  </w:style>
  <w:style w:type="paragraph" w:customStyle="1" w:styleId="nivoslider">
    <w:name w:val="nivoslider"/>
    <w:basedOn w:val="Normal"/>
    <w:pPr>
      <w:shd w:val="clear" w:color="auto" w:fill="FFFFFF"/>
      <w:spacing w:before="100" w:beforeAutospacing="1" w:after="150"/>
    </w:pPr>
    <w:rPr>
      <w:vanish/>
    </w:rPr>
  </w:style>
  <w:style w:type="paragraph" w:customStyle="1" w:styleId="nivo-box">
    <w:name w:val="nivo-box"/>
    <w:basedOn w:val="Normal"/>
    <w:pPr>
      <w:spacing w:before="100" w:beforeAutospacing="1" w:after="100" w:afterAutospacing="1"/>
    </w:pPr>
  </w:style>
  <w:style w:type="paragraph" w:customStyle="1" w:styleId="nivo-slice">
    <w:name w:val="nivo-slice"/>
    <w:basedOn w:val="Normal"/>
    <w:pPr>
      <w:spacing w:before="100" w:beforeAutospacing="1" w:after="100" w:afterAutospacing="1"/>
    </w:pPr>
  </w:style>
  <w:style w:type="paragraph" w:customStyle="1" w:styleId="nivo-caption">
    <w:name w:val="nivo-caption"/>
    <w:basedOn w:val="Normal"/>
    <w:pPr>
      <w:shd w:val="clear" w:color="auto" w:fill="000000"/>
      <w:spacing w:before="100" w:beforeAutospacing="1" w:after="100" w:afterAutospacing="1"/>
    </w:pPr>
    <w:rPr>
      <w:vanish/>
      <w:color w:val="FFFFFF"/>
    </w:rPr>
  </w:style>
  <w:style w:type="paragraph" w:customStyle="1" w:styleId="nivo-html-caption">
    <w:name w:val="nivo-html-caption"/>
    <w:basedOn w:val="Normal"/>
    <w:pPr>
      <w:spacing w:before="100" w:beforeAutospacing="1" w:after="100" w:afterAutospacing="1"/>
    </w:pPr>
    <w:rPr>
      <w:vanish/>
    </w:rPr>
  </w:style>
  <w:style w:type="paragraph" w:customStyle="1" w:styleId="nivo-controlnav">
    <w:name w:val="nivo-controlnav"/>
    <w:basedOn w:val="Normal"/>
    <w:pPr>
      <w:spacing w:before="100" w:beforeAutospacing="1" w:after="100" w:afterAutospacing="1"/>
    </w:pPr>
  </w:style>
  <w:style w:type="paragraph" w:customStyle="1" w:styleId="qtip">
    <w:name w:val="qtip"/>
    <w:basedOn w:val="Normal"/>
    <w:pPr>
      <w:spacing w:before="100" w:beforeAutospacing="1" w:after="100" w:afterAutospacing="1" w:line="180" w:lineRule="atLeast"/>
    </w:pPr>
    <w:rPr>
      <w:vanish/>
      <w:sz w:val="16"/>
      <w:szCs w:val="16"/>
    </w:rPr>
  </w:style>
  <w:style w:type="paragraph" w:customStyle="1" w:styleId="qtip-content">
    <w:name w:val="qtip-content"/>
    <w:basedOn w:val="Normal"/>
    <w:pPr>
      <w:spacing w:before="100" w:beforeAutospacing="1" w:after="100" w:afterAutospacing="1"/>
    </w:pPr>
  </w:style>
  <w:style w:type="paragraph" w:customStyle="1" w:styleId="qtip-titlebar">
    <w:name w:val="qtip-titlebar"/>
    <w:basedOn w:val="Normal"/>
    <w:pPr>
      <w:spacing w:before="100" w:beforeAutospacing="1" w:after="100" w:afterAutospacing="1"/>
    </w:pPr>
    <w:rPr>
      <w:b/>
      <w:bCs/>
    </w:rPr>
  </w:style>
  <w:style w:type="paragraph" w:customStyle="1" w:styleId="qtip-icon">
    <w:name w:val="qtip-icon"/>
    <w:basedOn w:val="Normal"/>
    <w:pPr>
      <w:spacing w:before="100" w:beforeAutospacing="1" w:after="100" w:afterAutospacing="1"/>
    </w:pPr>
  </w:style>
  <w:style w:type="paragraph" w:customStyle="1" w:styleId="qtip-default">
    <w:name w:val="qtip-default"/>
    <w:basedOn w:val="Normal"/>
    <w:pPr>
      <w:pBdr>
        <w:top w:val="single" w:sz="6" w:space="0" w:color="F1D031"/>
        <w:left w:val="single" w:sz="6" w:space="0" w:color="F1D031"/>
        <w:bottom w:val="single" w:sz="6" w:space="0" w:color="F1D031"/>
        <w:right w:val="single" w:sz="6" w:space="0" w:color="F1D031"/>
      </w:pBdr>
      <w:shd w:val="clear" w:color="auto" w:fill="FFFFA3"/>
      <w:spacing w:before="100" w:beforeAutospacing="1" w:after="100" w:afterAutospacing="1"/>
    </w:pPr>
    <w:rPr>
      <w:color w:val="555555"/>
    </w:rPr>
  </w:style>
  <w:style w:type="paragraph" w:customStyle="1" w:styleId="qtip-light">
    <w:name w:val="qtip-light"/>
    <w:basedOn w:val="Normal"/>
    <w:pPr>
      <w:shd w:val="clear" w:color="auto" w:fill="FFFFFF"/>
      <w:spacing w:before="100" w:beforeAutospacing="1" w:after="100" w:afterAutospacing="1"/>
    </w:pPr>
    <w:rPr>
      <w:color w:val="454545"/>
    </w:rPr>
  </w:style>
  <w:style w:type="paragraph" w:customStyle="1" w:styleId="qtip-dark">
    <w:name w:val="qtip-dark"/>
    <w:basedOn w:val="Normal"/>
    <w:pPr>
      <w:shd w:val="clear" w:color="auto" w:fill="505050"/>
      <w:spacing w:before="100" w:beforeAutospacing="1" w:after="100" w:afterAutospacing="1"/>
    </w:pPr>
    <w:rPr>
      <w:color w:val="F3F3F3"/>
    </w:rPr>
  </w:style>
  <w:style w:type="paragraph" w:customStyle="1" w:styleId="qtip-cream">
    <w:name w:val="qtip-cream"/>
    <w:basedOn w:val="Normal"/>
    <w:pPr>
      <w:shd w:val="clear" w:color="auto" w:fill="FBF7AA"/>
      <w:spacing w:before="100" w:beforeAutospacing="1" w:after="100" w:afterAutospacing="1"/>
    </w:pPr>
    <w:rPr>
      <w:color w:val="A27D35"/>
    </w:rPr>
  </w:style>
  <w:style w:type="paragraph" w:customStyle="1" w:styleId="qtip-red">
    <w:name w:val="qtip-red"/>
    <w:basedOn w:val="Normal"/>
    <w:pPr>
      <w:shd w:val="clear" w:color="auto" w:fill="F78B83"/>
      <w:spacing w:before="100" w:beforeAutospacing="1" w:after="100" w:afterAutospacing="1"/>
    </w:pPr>
    <w:rPr>
      <w:color w:val="912323"/>
    </w:rPr>
  </w:style>
  <w:style w:type="paragraph" w:customStyle="1" w:styleId="qtip-green">
    <w:name w:val="qtip-green"/>
    <w:basedOn w:val="Normal"/>
    <w:pPr>
      <w:shd w:val="clear" w:color="auto" w:fill="CAED9E"/>
      <w:spacing w:before="100" w:beforeAutospacing="1" w:after="100" w:afterAutospacing="1"/>
    </w:pPr>
    <w:rPr>
      <w:color w:val="3F6219"/>
    </w:rPr>
  </w:style>
  <w:style w:type="paragraph" w:customStyle="1" w:styleId="qtip-blue">
    <w:name w:val="qtip-blue"/>
    <w:basedOn w:val="Normal"/>
    <w:pPr>
      <w:shd w:val="clear" w:color="auto" w:fill="E5F6FE"/>
      <w:spacing w:before="100" w:beforeAutospacing="1" w:after="100" w:afterAutospacing="1"/>
    </w:pPr>
    <w:rPr>
      <w:color w:val="5E99BD"/>
    </w:rPr>
  </w:style>
  <w:style w:type="paragraph" w:customStyle="1" w:styleId="qtip-youtube">
    <w:name w:val="qtip-youtube"/>
    <w:basedOn w:val="Normal"/>
    <w:pPr>
      <w:shd w:val="clear" w:color="auto" w:fill="4A4A4A"/>
      <w:spacing w:before="100" w:beforeAutospacing="1" w:after="100" w:afterAutospacing="1"/>
    </w:pPr>
    <w:rPr>
      <w:color w:val="FFFFFF"/>
    </w:rPr>
  </w:style>
  <w:style w:type="paragraph" w:customStyle="1" w:styleId="qtip-jtools">
    <w:name w:val="qtip-jtools"/>
    <w:basedOn w:val="Normal"/>
    <w:pPr>
      <w:pBdr>
        <w:top w:val="single" w:sz="12" w:space="0" w:color="DDDDDD"/>
        <w:left w:val="single" w:sz="12" w:space="0" w:color="DDDDDD"/>
        <w:bottom w:val="single" w:sz="12" w:space="0" w:color="DDDDDD"/>
        <w:right w:val="single" w:sz="12" w:space="0" w:color="DDDDDD"/>
      </w:pBdr>
      <w:shd w:val="clear" w:color="auto" w:fill="232323"/>
      <w:spacing w:before="100" w:beforeAutospacing="1" w:after="100" w:afterAutospacing="1"/>
    </w:pPr>
  </w:style>
  <w:style w:type="paragraph" w:customStyle="1" w:styleId="qtip-cluetip">
    <w:name w:val="qtip-cluetip"/>
    <w:basedOn w:val="Normal"/>
    <w:pPr>
      <w:shd w:val="clear" w:color="auto" w:fill="D9D9C2"/>
      <w:spacing w:before="100" w:beforeAutospacing="1" w:after="100" w:afterAutospacing="1"/>
    </w:pPr>
    <w:rPr>
      <w:color w:val="111111"/>
    </w:rPr>
  </w:style>
  <w:style w:type="paragraph" w:customStyle="1" w:styleId="qtip-tipsy">
    <w:name w:val="qtip-tipsy"/>
    <w:basedOn w:val="Normal"/>
    <w:pPr>
      <w:shd w:val="clear" w:color="auto" w:fill="000000"/>
      <w:spacing w:before="100" w:beforeAutospacing="1" w:after="100" w:afterAutospacing="1" w:line="240" w:lineRule="atLeast"/>
    </w:pPr>
    <w:rPr>
      <w:rFonts w:ascii="Arial" w:hAnsi="Arial" w:cs="Arial"/>
      <w:b/>
      <w:bCs/>
      <w:color w:val="FFFFFF"/>
      <w:sz w:val="17"/>
      <w:szCs w:val="17"/>
    </w:rPr>
  </w:style>
  <w:style w:type="paragraph" w:customStyle="1" w:styleId="qtip-tipped">
    <w:name w:val="qtip-tipped"/>
    <w:basedOn w:val="Normal"/>
    <w:pPr>
      <w:pBdr>
        <w:top w:val="single" w:sz="18" w:space="0" w:color="959FA9"/>
        <w:left w:val="single" w:sz="18" w:space="0" w:color="959FA9"/>
        <w:bottom w:val="single" w:sz="18" w:space="0" w:color="959FA9"/>
        <w:right w:val="single" w:sz="18" w:space="0" w:color="959FA9"/>
      </w:pBdr>
      <w:shd w:val="clear" w:color="auto" w:fill="F9F9F9"/>
      <w:spacing w:before="100" w:beforeAutospacing="1" w:after="100" w:afterAutospacing="1"/>
    </w:pPr>
    <w:rPr>
      <w:color w:val="454545"/>
    </w:rPr>
  </w:style>
  <w:style w:type="paragraph" w:customStyle="1" w:styleId="qtip-bootstrap">
    <w:name w:val="qtip-bootstrap"/>
    <w:basedOn w:val="Normal"/>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line="300" w:lineRule="atLeast"/>
    </w:pPr>
    <w:rPr>
      <w:color w:val="333333"/>
      <w:sz w:val="21"/>
      <w:szCs w:val="21"/>
    </w:rPr>
  </w:style>
  <w:style w:type="paragraph" w:customStyle="1" w:styleId="simcal-powered">
    <w:name w:val="simcal-powered"/>
    <w:basedOn w:val="Normal"/>
    <w:pPr>
      <w:spacing w:after="300"/>
    </w:pPr>
  </w:style>
  <w:style w:type="paragraph" w:customStyle="1" w:styleId="simcal-align-left">
    <w:name w:val="simcal-align-left"/>
    <w:basedOn w:val="Normal"/>
    <w:pPr>
      <w:spacing w:before="100" w:beforeAutospacing="1" w:after="100" w:afterAutospacing="1"/>
    </w:pPr>
  </w:style>
  <w:style w:type="paragraph" w:customStyle="1" w:styleId="simcal-align-right">
    <w:name w:val="simcal-align-right"/>
    <w:basedOn w:val="Normal"/>
    <w:pPr>
      <w:spacing w:before="100" w:beforeAutospacing="1" w:after="100" w:afterAutospacing="1"/>
      <w:jc w:val="right"/>
    </w:pPr>
  </w:style>
  <w:style w:type="paragraph" w:customStyle="1" w:styleId="simcal-default-calendar-gridtable">
    <w:name w:val="simcal-default-calendar-grid&gt;table"/>
    <w:basedOn w:val="Normal"/>
    <w:pPr>
      <w:spacing w:before="100" w:beforeAutospacing="1" w:after="100" w:afterAutospacing="1"/>
    </w:pPr>
  </w:style>
  <w:style w:type="paragraph" w:customStyle="1" w:styleId="simcal-event-bubble">
    <w:name w:val="simcal-event-bubble"/>
    <w:basedOn w:val="Normal"/>
    <w:pPr>
      <w:shd w:val="clear" w:color="auto" w:fill="FFFFFF"/>
      <w:spacing w:before="100" w:beforeAutospacing="1" w:after="100" w:afterAutospacing="1"/>
    </w:pPr>
  </w:style>
  <w:style w:type="paragraph" w:customStyle="1" w:styleId="simcal-default-calendar-list">
    <w:name w:val="simcal-default-calendar-list"/>
    <w:basedOn w:val="Normal"/>
    <w:pPr>
      <w:spacing w:before="100" w:beforeAutospacing="1" w:after="100" w:afterAutospacing="1"/>
    </w:pPr>
  </w:style>
  <w:style w:type="paragraph" w:customStyle="1" w:styleId="omsc-tabs-tab">
    <w:name w:val="omsc-tabs-tab"/>
    <w:basedOn w:val="Normal"/>
    <w:pPr>
      <w:spacing w:before="100" w:beforeAutospacing="1" w:after="100" w:afterAutospacing="1"/>
    </w:pPr>
  </w:style>
  <w:style w:type="paragraph" w:customStyle="1" w:styleId="omsc-infobox-icon">
    <w:name w:val="omsc-infobox-icon"/>
    <w:basedOn w:val="Normal"/>
    <w:pPr>
      <w:spacing w:before="100" w:beforeAutospacing="1" w:after="100" w:afterAutospacing="1"/>
    </w:pPr>
  </w:style>
  <w:style w:type="paragraph" w:customStyle="1" w:styleId="omsc-inner">
    <w:name w:val="omsc-inner"/>
    <w:basedOn w:val="Normal"/>
    <w:pPr>
      <w:spacing w:before="100" w:beforeAutospacing="1" w:after="100" w:afterAutospacing="1"/>
    </w:pPr>
  </w:style>
  <w:style w:type="paragraph" w:customStyle="1" w:styleId="omsc-text-block">
    <w:name w:val="omsc-text-block"/>
    <w:basedOn w:val="Normal"/>
    <w:pPr>
      <w:spacing w:before="100" w:beforeAutospacing="1" w:after="100" w:afterAutospacing="1"/>
    </w:pPr>
  </w:style>
  <w:style w:type="paragraph" w:customStyle="1" w:styleId="omsc-text-block-title">
    <w:name w:val="omsc-text-block-title"/>
    <w:basedOn w:val="Normal"/>
    <w:pPr>
      <w:spacing w:before="100" w:beforeAutospacing="1" w:after="100" w:afterAutospacing="1"/>
    </w:pPr>
  </w:style>
  <w:style w:type="paragraph" w:customStyle="1" w:styleId="omsc-button-block">
    <w:name w:val="omsc-button-block"/>
    <w:basedOn w:val="Normal"/>
    <w:pPr>
      <w:spacing w:before="100" w:beforeAutospacing="1" w:after="100" w:afterAutospacing="1"/>
    </w:pPr>
  </w:style>
  <w:style w:type="paragraph" w:customStyle="1" w:styleId="omsc-price-comment">
    <w:name w:val="omsc-price-comment"/>
    <w:basedOn w:val="Normal"/>
    <w:pPr>
      <w:spacing w:before="100" w:beforeAutospacing="1" w:after="100" w:afterAutospacing="1"/>
    </w:pPr>
  </w:style>
  <w:style w:type="paragraph" w:customStyle="1" w:styleId="omsc-pricing-button">
    <w:name w:val="omsc-pricing-button"/>
    <w:basedOn w:val="Normal"/>
    <w:pPr>
      <w:spacing w:before="100" w:beforeAutospacing="1" w:after="100" w:afterAutospacing="1"/>
    </w:pPr>
  </w:style>
  <w:style w:type="paragraph" w:customStyle="1" w:styleId="omsc-logos-item">
    <w:name w:val="omsc-logos-item"/>
    <w:basedOn w:val="Normal"/>
    <w:pPr>
      <w:spacing w:before="100" w:beforeAutospacing="1" w:after="100" w:afterAutospacing="1"/>
    </w:pPr>
  </w:style>
  <w:style w:type="paragraph" w:customStyle="1" w:styleId="badge">
    <w:name w:val="badge"/>
    <w:basedOn w:val="Normal"/>
    <w:pPr>
      <w:spacing w:before="100" w:beforeAutospacing="1" w:after="100" w:afterAutospacing="1"/>
    </w:pPr>
  </w:style>
  <w:style w:type="paragraph" w:customStyle="1" w:styleId="reply">
    <w:name w:val="reply"/>
    <w:basedOn w:val="Normal"/>
    <w:pPr>
      <w:spacing w:before="100" w:beforeAutospacing="1" w:after="100" w:afterAutospacing="1"/>
    </w:pPr>
  </w:style>
  <w:style w:type="paragraph" w:customStyle="1" w:styleId="fn">
    <w:name w:val="fn"/>
    <w:basedOn w:val="Normal"/>
    <w:pPr>
      <w:spacing w:before="100" w:beforeAutospacing="1" w:after="100" w:afterAutospacing="1"/>
    </w:pPr>
  </w:style>
  <w:style w:type="paragraph" w:customStyle="1" w:styleId="avatar">
    <w:name w:val="avatar"/>
    <w:basedOn w:val="Normal"/>
    <w:pPr>
      <w:spacing w:before="100" w:beforeAutospacing="1" w:after="100" w:afterAutospacing="1"/>
    </w:pPr>
  </w:style>
  <w:style w:type="paragraph" w:customStyle="1" w:styleId="children">
    <w:name w:val="children"/>
    <w:basedOn w:val="Normal"/>
    <w:pPr>
      <w:spacing w:before="100" w:beforeAutospacing="1" w:after="100" w:afterAutospacing="1"/>
    </w:pPr>
  </w:style>
  <w:style w:type="paragraph" w:customStyle="1" w:styleId="mod-gallery">
    <w:name w:val="mod-gallery"/>
    <w:basedOn w:val="Normal"/>
    <w:pPr>
      <w:spacing w:before="100" w:beforeAutospacing="1" w:after="100" w:afterAutospacing="1"/>
    </w:pPr>
  </w:style>
  <w:style w:type="paragraph" w:customStyle="1" w:styleId="nav-divider">
    <w:name w:val="nav-divider"/>
    <w:basedOn w:val="Normal"/>
    <w:pPr>
      <w:spacing w:before="100" w:beforeAutospacing="1" w:after="100" w:afterAutospacing="1"/>
    </w:pPr>
  </w:style>
  <w:style w:type="paragraph" w:customStyle="1" w:styleId="dropdown-menu">
    <w:name w:val="dropdown-menu"/>
    <w:basedOn w:val="Normal"/>
    <w:pPr>
      <w:spacing w:before="100" w:beforeAutospacing="1" w:after="100" w:afterAutospacing="1"/>
    </w:pPr>
  </w:style>
  <w:style w:type="paragraph" w:customStyle="1" w:styleId="icon-bar">
    <w:name w:val="icon-bar"/>
    <w:basedOn w:val="Normal"/>
    <w:pPr>
      <w:spacing w:before="100" w:beforeAutospacing="1" w:after="100" w:afterAutospacing="1"/>
    </w:pPr>
  </w:style>
  <w:style w:type="paragraph" w:customStyle="1" w:styleId="navbar-link">
    <w:name w:val="navbar-link"/>
    <w:basedOn w:val="Normal"/>
    <w:pPr>
      <w:spacing w:before="100" w:beforeAutospacing="1" w:after="100" w:afterAutospacing="1"/>
    </w:pPr>
  </w:style>
  <w:style w:type="paragraph" w:customStyle="1" w:styleId="close">
    <w:name w:val="close"/>
    <w:basedOn w:val="Normal"/>
    <w:pPr>
      <w:spacing w:before="100" w:beforeAutospacing="1" w:after="100" w:afterAutospacing="1"/>
    </w:pPr>
  </w:style>
  <w:style w:type="paragraph" w:customStyle="1" w:styleId="ekko-lightbox-container">
    <w:name w:val="ekko-lightbox-container"/>
    <w:basedOn w:val="Normal"/>
    <w:pPr>
      <w:spacing w:before="100" w:beforeAutospacing="1" w:after="100" w:afterAutospacing="1"/>
    </w:pPr>
  </w:style>
  <w:style w:type="paragraph" w:customStyle="1" w:styleId="ekko-lightbox-nav-overlay">
    <w:name w:val="ekko-lightbox-nav-overlay"/>
    <w:basedOn w:val="Normal"/>
    <w:pPr>
      <w:spacing w:before="100" w:beforeAutospacing="1" w:after="100" w:afterAutospacing="1"/>
    </w:pPr>
  </w:style>
  <w:style w:type="paragraph" w:customStyle="1" w:styleId="qtip-close">
    <w:name w:val="qtip-close"/>
    <w:basedOn w:val="Normal"/>
    <w:pPr>
      <w:spacing w:before="100" w:beforeAutospacing="1" w:after="100" w:afterAutospacing="1"/>
    </w:pPr>
  </w:style>
  <w:style w:type="paragraph" w:customStyle="1" w:styleId="ui-icon">
    <w:name w:val="ui-icon"/>
    <w:basedOn w:val="Normal"/>
    <w:pPr>
      <w:spacing w:before="100" w:beforeAutospacing="1" w:after="100" w:afterAutospacing="1"/>
    </w:pPr>
  </w:style>
  <w:style w:type="paragraph" w:customStyle="1" w:styleId="qtip-tip">
    <w:name w:val="qtip-tip"/>
    <w:basedOn w:val="Normal"/>
    <w:pPr>
      <w:spacing w:before="100" w:beforeAutospacing="1" w:after="100" w:afterAutospacing="1"/>
    </w:pPr>
  </w:style>
  <w:style w:type="paragraph" w:customStyle="1" w:styleId="simcal-nav">
    <w:name w:val="simcal-nav"/>
    <w:basedOn w:val="Normal"/>
    <w:pPr>
      <w:spacing w:before="100" w:beforeAutospacing="1" w:after="100" w:afterAutospacing="1"/>
    </w:pPr>
  </w:style>
  <w:style w:type="paragraph" w:customStyle="1" w:styleId="simcal-nav-button">
    <w:name w:val="simcal-nav-button"/>
    <w:basedOn w:val="Normal"/>
    <w:pPr>
      <w:spacing w:before="100" w:beforeAutospacing="1" w:after="100" w:afterAutospacing="1"/>
    </w:pPr>
  </w:style>
  <w:style w:type="paragraph" w:customStyle="1" w:styleId="simcal-events">
    <w:name w:val="simcal-events"/>
    <w:basedOn w:val="Normal"/>
    <w:pPr>
      <w:spacing w:before="100" w:beforeAutospacing="1" w:after="100" w:afterAutospacing="1"/>
    </w:pPr>
  </w:style>
  <w:style w:type="paragraph" w:customStyle="1" w:styleId="simcal-events-toggle">
    <w:name w:val="simcal-events-toggle"/>
    <w:basedOn w:val="Normal"/>
    <w:pPr>
      <w:spacing w:before="100" w:beforeAutospacing="1" w:after="100" w:afterAutospacing="1"/>
    </w:pPr>
  </w:style>
  <w:style w:type="paragraph" w:customStyle="1" w:styleId="simcal-tooltip-content">
    <w:name w:val="simcal-tooltip-content"/>
    <w:basedOn w:val="Normal"/>
    <w:pPr>
      <w:spacing w:before="100" w:beforeAutospacing="1" w:after="100" w:afterAutospacing="1"/>
    </w:pPr>
  </w:style>
  <w:style w:type="paragraph" w:customStyle="1" w:styleId="simcal-ajax-loader">
    <w:name w:val="simcal-ajax-loader"/>
    <w:basedOn w:val="Normal"/>
    <w:pPr>
      <w:spacing w:before="100" w:beforeAutospacing="1" w:after="100" w:afterAutospacing="1"/>
    </w:pPr>
  </w:style>
  <w:style w:type="paragraph" w:customStyle="1" w:styleId="simcal-ajax-loaderi">
    <w:name w:val="simcal-ajax-loader&gt;i"/>
    <w:basedOn w:val="Normal"/>
    <w:pPr>
      <w:spacing w:before="100" w:beforeAutospacing="1" w:after="100" w:afterAutospacing="1"/>
    </w:pPr>
  </w:style>
  <w:style w:type="paragraph" w:customStyle="1" w:styleId="simcal-daydiv">
    <w:name w:val="simcal-day&gt;div"/>
    <w:basedOn w:val="Normal"/>
    <w:pPr>
      <w:spacing w:before="100" w:beforeAutospacing="1" w:after="100" w:afterAutospacing="1"/>
    </w:pPr>
  </w:style>
  <w:style w:type="paragraph" w:customStyle="1" w:styleId="simcal-day-void">
    <w:name w:val="simcal-day-void"/>
    <w:basedOn w:val="Normal"/>
    <w:pPr>
      <w:spacing w:before="100" w:beforeAutospacing="1" w:after="100" w:afterAutospacing="1"/>
    </w:pPr>
  </w:style>
  <w:style w:type="paragraph" w:customStyle="1" w:styleId="simcal-day-number">
    <w:name w:val="simcal-day-number"/>
    <w:basedOn w:val="Normal"/>
    <w:pPr>
      <w:spacing w:before="100" w:beforeAutospacing="1" w:after="100" w:afterAutospacing="1"/>
    </w:pPr>
  </w:style>
  <w:style w:type="paragraph" w:customStyle="1" w:styleId="simcal-no-events">
    <w:name w:val="simcal-no-events"/>
    <w:basedOn w:val="Normal"/>
    <w:pPr>
      <w:spacing w:before="100" w:beforeAutospacing="1" w:after="100" w:afterAutospacing="1"/>
    </w:pPr>
  </w:style>
  <w:style w:type="paragraph" w:customStyle="1" w:styleId="simcal-events-dots">
    <w:name w:val="simcal-events-dots"/>
    <w:basedOn w:val="Normal"/>
    <w:pPr>
      <w:spacing w:before="100" w:beforeAutospacing="1" w:after="100" w:afterAutospacing="1"/>
    </w:pPr>
  </w:style>
  <w:style w:type="paragraph" w:customStyle="1" w:styleId="simcal-calendar-head">
    <w:name w:val="simcal-calendar-head"/>
    <w:basedOn w:val="Normal"/>
    <w:pPr>
      <w:spacing w:before="100" w:beforeAutospacing="1" w:after="100" w:afterAutospacing="1"/>
    </w:pPr>
  </w:style>
  <w:style w:type="paragraph" w:customStyle="1" w:styleId="simcal-event-details">
    <w:name w:val="simcal-event-details"/>
    <w:basedOn w:val="Normal"/>
    <w:pPr>
      <w:spacing w:before="100" w:beforeAutospacing="1" w:after="100" w:afterAutospacing="1"/>
    </w:pPr>
  </w:style>
  <w:style w:type="paragraph" w:customStyle="1" w:styleId="entry-thumbnail">
    <w:name w:val="entry-thumbnail"/>
    <w:basedOn w:val="Normal"/>
    <w:pPr>
      <w:spacing w:before="100" w:beforeAutospacing="1" w:after="100" w:afterAutospacing="1"/>
    </w:pPr>
  </w:style>
  <w:style w:type="paragraph" w:customStyle="1" w:styleId="ui-state-hover">
    <w:name w:val="ui-state-hover"/>
    <w:basedOn w:val="Normal"/>
    <w:pPr>
      <w:spacing w:before="100" w:beforeAutospacing="1" w:after="100" w:afterAutospacing="1"/>
    </w:pPr>
  </w:style>
  <w:style w:type="paragraph" w:customStyle="1" w:styleId="simcal-event-description">
    <w:name w:val="simcal-event-description"/>
    <w:basedOn w:val="Normal"/>
    <w:pPr>
      <w:spacing w:before="100" w:beforeAutospacing="1" w:after="100" w:afterAutospacing="1"/>
    </w:pPr>
  </w:style>
  <w:style w:type="paragraph" w:customStyle="1" w:styleId="omsc-pricing-title-comment">
    <w:name w:val="omsc-pricing-title-comment"/>
    <w:basedOn w:val="Normal"/>
    <w:pPr>
      <w:spacing w:before="100" w:beforeAutospacing="1" w:after="100" w:afterAutospacing="1"/>
    </w:pPr>
  </w:style>
  <w:style w:type="paragraph" w:customStyle="1" w:styleId="quote-author">
    <w:name w:val="quote-author"/>
    <w:basedOn w:val="Normal"/>
    <w:pPr>
      <w:spacing w:before="100" w:beforeAutospacing="1" w:after="100" w:afterAutospacing="1"/>
    </w:pPr>
  </w:style>
  <w:style w:type="paragraph" w:customStyle="1" w:styleId="comment-form-author">
    <w:name w:val="comment-form-author"/>
    <w:basedOn w:val="Normal"/>
    <w:pPr>
      <w:spacing w:before="100" w:beforeAutospacing="1" w:after="100" w:afterAutospacing="1"/>
    </w:pPr>
  </w:style>
  <w:style w:type="paragraph" w:customStyle="1" w:styleId="comment-form-comment">
    <w:name w:val="comment-form-comment"/>
    <w:basedOn w:val="Normal"/>
    <w:pPr>
      <w:spacing w:before="100" w:beforeAutospacing="1" w:after="100" w:afterAutospacing="1"/>
    </w:pPr>
  </w:style>
  <w:style w:type="paragraph" w:customStyle="1" w:styleId="comment-form-email">
    <w:name w:val="comment-form-email"/>
    <w:basedOn w:val="Normal"/>
    <w:pPr>
      <w:spacing w:before="100" w:beforeAutospacing="1" w:after="100" w:afterAutospacing="1"/>
    </w:pPr>
  </w:style>
  <w:style w:type="paragraph" w:customStyle="1" w:styleId="comment-form-url">
    <w:name w:val="comment-form-url"/>
    <w:basedOn w:val="Normal"/>
    <w:pPr>
      <w:spacing w:before="100" w:beforeAutospacing="1" w:after="100" w:afterAutospacing="1"/>
    </w:pPr>
  </w:style>
  <w:style w:type="paragraph" w:customStyle="1" w:styleId="homebutton">
    <w:name w:val="home_button"/>
    <w:basedOn w:val="Normal"/>
    <w:pPr>
      <w:spacing w:before="100" w:beforeAutospacing="1" w:after="100" w:afterAutospacing="1"/>
    </w:pPr>
  </w:style>
  <w:style w:type="paragraph" w:customStyle="1" w:styleId="megamenu-sub">
    <w:name w:val="megamenu-sub"/>
    <w:basedOn w:val="Normal"/>
    <w:pPr>
      <w:spacing w:before="100" w:beforeAutospacing="1" w:after="100" w:afterAutospacing="1"/>
    </w:pPr>
  </w:style>
  <w:style w:type="paragraph" w:customStyle="1" w:styleId="widget-title">
    <w:name w:val="widget-title"/>
    <w:basedOn w:val="Normal"/>
    <w:pPr>
      <w:spacing w:before="100" w:beforeAutospacing="1" w:after="100" w:afterAutospacing="1"/>
    </w:pPr>
  </w:style>
  <w:style w:type="paragraph" w:customStyle="1" w:styleId="tab-content">
    <w:name w:val="tab-content"/>
    <w:basedOn w:val="Normal"/>
    <w:pPr>
      <w:spacing w:before="100" w:beforeAutospacing="1" w:after="100" w:afterAutospacing="1"/>
    </w:pPr>
  </w:style>
  <w:style w:type="paragraph" w:customStyle="1" w:styleId="gformwrapper">
    <w:name w:val="gform_wrapper"/>
    <w:basedOn w:val="Normal"/>
    <w:pPr>
      <w:spacing w:before="100" w:beforeAutospacing="1" w:after="100" w:afterAutospacing="1"/>
    </w:pPr>
  </w:style>
  <w:style w:type="paragraph" w:customStyle="1" w:styleId="alert-icon">
    <w:name w:val="alert-icon"/>
    <w:basedOn w:val="Normal"/>
    <w:pPr>
      <w:spacing w:before="100" w:beforeAutospacing="1" w:after="100" w:afterAutospacing="1"/>
    </w:pPr>
  </w:style>
  <w:style w:type="paragraph" w:customStyle="1" w:styleId="empty-message">
    <w:name w:val="empty-message"/>
    <w:basedOn w:val="Normal"/>
    <w:pPr>
      <w:spacing w:before="100" w:beforeAutospacing="1" w:after="100" w:afterAutospacing="1"/>
    </w:pPr>
  </w:style>
  <w:style w:type="paragraph" w:customStyle="1" w:styleId="league-name">
    <w:name w:val="league-name"/>
    <w:basedOn w:val="Normal"/>
    <w:pPr>
      <w:spacing w:before="100" w:beforeAutospacing="1" w:after="100" w:afterAutospacing="1"/>
    </w:pPr>
  </w:style>
  <w:style w:type="paragraph" w:customStyle="1" w:styleId="gfielderror">
    <w:name w:val="gfield_error"/>
    <w:basedOn w:val="Normal"/>
    <w:pPr>
      <w:spacing w:before="100" w:beforeAutospacing="1" w:after="100" w:afterAutospacing="1"/>
    </w:pPr>
  </w:style>
  <w:style w:type="paragraph" w:customStyle="1" w:styleId="gfield">
    <w:name w:val="gfield"/>
    <w:basedOn w:val="Normal"/>
    <w:pPr>
      <w:spacing w:before="100" w:beforeAutospacing="1" w:after="100" w:afterAutospacing="1"/>
    </w:pPr>
  </w:style>
  <w:style w:type="paragraph" w:customStyle="1" w:styleId="gfprogressbar">
    <w:name w:val="gf_progressbar"/>
    <w:basedOn w:val="Normal"/>
    <w:pPr>
      <w:spacing w:before="100" w:beforeAutospacing="1" w:after="100" w:afterAutospacing="1"/>
    </w:pPr>
  </w:style>
  <w:style w:type="paragraph" w:customStyle="1" w:styleId="gfprogressbarpercentage">
    <w:name w:val="gf_progressbar_percentage"/>
    <w:basedOn w:val="Normal"/>
    <w:pPr>
      <w:spacing w:before="100" w:beforeAutospacing="1" w:after="100" w:afterAutospacing="1"/>
    </w:pPr>
  </w:style>
  <w:style w:type="paragraph" w:customStyle="1" w:styleId="gfieldrequired">
    <w:name w:val="gfield_required"/>
    <w:basedOn w:val="Normal"/>
    <w:pPr>
      <w:spacing w:before="100" w:beforeAutospacing="1" w:after="100" w:afterAutospacing="1"/>
    </w:pPr>
  </w:style>
  <w:style w:type="paragraph" w:customStyle="1" w:styleId="validationmessage">
    <w:name w:val="validation_message"/>
    <w:basedOn w:val="Normal"/>
    <w:pPr>
      <w:spacing w:before="100" w:beforeAutospacing="1" w:after="100" w:afterAutospacing="1"/>
    </w:pPr>
  </w:style>
  <w:style w:type="paragraph" w:customStyle="1" w:styleId="alertbutton">
    <w:name w:val="alertbutton"/>
    <w:basedOn w:val="Normal"/>
    <w:pPr>
      <w:spacing w:before="100" w:beforeAutospacing="1" w:after="100" w:afterAutospacing="1"/>
    </w:pPr>
  </w:style>
  <w:style w:type="paragraph" w:customStyle="1" w:styleId="gfieldlabel">
    <w:name w:val="gfield_label"/>
    <w:basedOn w:val="Normal"/>
    <w:pPr>
      <w:spacing w:before="100" w:beforeAutospacing="1" w:after="100" w:afterAutospacing="1"/>
    </w:pPr>
  </w:style>
  <w:style w:type="paragraph" w:customStyle="1" w:styleId="search">
    <w:name w:val="search"/>
    <w:basedOn w:val="Normal"/>
    <w:pPr>
      <w:spacing w:before="100" w:beforeAutospacing="1" w:after="100" w:afterAutospacing="1"/>
    </w:pPr>
  </w:style>
  <w:style w:type="paragraph" w:customStyle="1" w:styleId="sitetile">
    <w:name w:val="sitetile"/>
    <w:basedOn w:val="Normal"/>
    <w:pPr>
      <w:spacing w:before="100" w:beforeAutospacing="1" w:after="100" w:afterAutospacing="1"/>
    </w:pPr>
  </w:style>
  <w:style w:type="character" w:customStyle="1" w:styleId="omsc-visibility-desktop1">
    <w:name w:val="omsc-visibility-desktop1"/>
    <w:basedOn w:val="DefaultParagraphFont"/>
    <w:rPr>
      <w:vanish w:val="0"/>
      <w:webHidden w:val="0"/>
      <w:specVanish w:val="0"/>
    </w:rPr>
  </w:style>
  <w:style w:type="paragraph" w:customStyle="1" w:styleId="omsc-pricing-title">
    <w:name w:val="omsc-pricing-title"/>
    <w:basedOn w:val="Normal"/>
    <w:pPr>
      <w:spacing w:before="100" w:beforeAutospacing="1" w:after="100" w:afterAutospacing="1"/>
    </w:pPr>
  </w:style>
  <w:style w:type="paragraph" w:customStyle="1" w:styleId="omsc-pricing-price">
    <w:name w:val="omsc-pricing-price"/>
    <w:basedOn w:val="Normal"/>
    <w:pPr>
      <w:spacing w:before="100" w:beforeAutospacing="1" w:after="100" w:afterAutospacing="1"/>
    </w:pPr>
  </w:style>
  <w:style w:type="paragraph" w:customStyle="1" w:styleId="simcal-attachment">
    <w:name w:val="simcal-attachment"/>
    <w:basedOn w:val="Normal"/>
    <w:pPr>
      <w:spacing w:before="100" w:beforeAutospacing="1" w:after="100" w:afterAutospacing="1"/>
    </w:pPr>
  </w:style>
  <w:style w:type="paragraph" w:customStyle="1" w:styleId="simcal-attendee">
    <w:name w:val="simcal-attendee"/>
    <w:basedOn w:val="Normal"/>
    <w:pPr>
      <w:spacing w:before="100" w:beforeAutospacing="1" w:after="100" w:afterAutospacing="1"/>
    </w:pPr>
  </w:style>
  <w:style w:type="paragraph" w:customStyle="1" w:styleId="simcal-event">
    <w:name w:val="simcal-event"/>
    <w:basedOn w:val="Normal"/>
    <w:pPr>
      <w:spacing w:before="100" w:beforeAutospacing="1" w:after="100" w:afterAutospacing="1"/>
    </w:pPr>
  </w:style>
  <w:style w:type="paragraph" w:customStyle="1" w:styleId="fa1">
    <w:name w:val="fa1"/>
    <w:basedOn w:val="Normal"/>
    <w:pPr>
      <w:ind w:right="144"/>
    </w:pPr>
    <w:rPr>
      <w:rFonts w:ascii="FontAwesome" w:hAnsi="FontAwesome"/>
    </w:rPr>
  </w:style>
  <w:style w:type="paragraph" w:customStyle="1" w:styleId="fa2">
    <w:name w:val="fa2"/>
    <w:basedOn w:val="Normal"/>
    <w:pPr>
      <w:spacing w:after="188"/>
    </w:pPr>
    <w:rPr>
      <w:rFonts w:ascii="FontAwesome" w:hAnsi="FontAwesome"/>
      <w:sz w:val="19"/>
      <w:szCs w:val="19"/>
    </w:rPr>
  </w:style>
  <w:style w:type="paragraph" w:customStyle="1" w:styleId="omsc-toggle1">
    <w:name w:val="omsc-toggle1"/>
    <w:basedOn w:val="Normal"/>
    <w:pPr>
      <w:pBdr>
        <w:top w:val="single" w:sz="2" w:space="0" w:color="E1E1E1"/>
        <w:left w:val="single" w:sz="6" w:space="0" w:color="E1E1E1"/>
        <w:bottom w:val="single" w:sz="6" w:space="0" w:color="E1E1E1"/>
        <w:right w:val="single" w:sz="6" w:space="0" w:color="E1E1E1"/>
      </w:pBdr>
    </w:pPr>
  </w:style>
  <w:style w:type="paragraph" w:customStyle="1" w:styleId="omsc-tabs-control1">
    <w:name w:val="omsc-tabs-control1"/>
    <w:basedOn w:val="Normal"/>
  </w:style>
  <w:style w:type="paragraph" w:customStyle="1" w:styleId="omsc-tabs-tab1">
    <w:name w:val="omsc-tabs-tab1"/>
    <w:basedOn w:val="Normal"/>
    <w:pPr>
      <w:spacing w:after="188"/>
    </w:pPr>
    <w:rPr>
      <w:vanish/>
    </w:rPr>
  </w:style>
  <w:style w:type="paragraph" w:customStyle="1" w:styleId="omsc-infobox-icon1">
    <w:name w:val="omsc-infobox-icon1"/>
    <w:basedOn w:val="Normal"/>
    <w:pPr>
      <w:spacing w:after="188"/>
      <w:ind w:hanging="408"/>
    </w:pPr>
  </w:style>
  <w:style w:type="paragraph" w:customStyle="1" w:styleId="omsc-inner1">
    <w:name w:val="omsc-inner1"/>
    <w:basedOn w:val="Normal"/>
    <w:pPr>
      <w:spacing w:after="188"/>
    </w:pPr>
  </w:style>
  <w:style w:type="paragraph" w:customStyle="1" w:styleId="omsc-text-block1">
    <w:name w:val="omsc-text-block1"/>
    <w:basedOn w:val="Normal"/>
    <w:pPr>
      <w:spacing w:after="188"/>
      <w:textAlignment w:val="center"/>
    </w:pPr>
  </w:style>
  <w:style w:type="paragraph" w:customStyle="1" w:styleId="omsc-text-block-title1">
    <w:name w:val="omsc-text-block-title1"/>
    <w:basedOn w:val="Normal"/>
    <w:pPr>
      <w:spacing w:after="188"/>
    </w:pPr>
    <w:rPr>
      <w:b/>
      <w:bCs/>
      <w:sz w:val="40"/>
      <w:szCs w:val="40"/>
    </w:rPr>
  </w:style>
  <w:style w:type="paragraph" w:customStyle="1" w:styleId="omsc-button-block1">
    <w:name w:val="omsc-button-block1"/>
    <w:basedOn w:val="Normal"/>
    <w:pPr>
      <w:spacing w:after="188"/>
      <w:jc w:val="right"/>
      <w:textAlignment w:val="center"/>
    </w:pPr>
  </w:style>
  <w:style w:type="paragraph" w:customStyle="1" w:styleId="omsc-box-icon1">
    <w:name w:val="omsc-box-icon1"/>
    <w:basedOn w:val="Normal"/>
    <w:pPr>
      <w:pBdr>
        <w:top w:val="single" w:sz="2" w:space="0" w:color="auto"/>
        <w:left w:val="single" w:sz="2" w:space="0" w:color="auto"/>
        <w:bottom w:val="single" w:sz="2" w:space="0" w:color="auto"/>
        <w:right w:val="single" w:sz="2" w:space="0" w:color="auto"/>
      </w:pBdr>
      <w:spacing w:after="188" w:line="504" w:lineRule="atLeast"/>
      <w:jc w:val="center"/>
    </w:pPr>
  </w:style>
  <w:style w:type="paragraph" w:customStyle="1" w:styleId="omsc-pricing-title1">
    <w:name w:val="omsc-pricing-title1"/>
    <w:basedOn w:val="Normal"/>
    <w:pPr>
      <w:pBdr>
        <w:top w:val="single" w:sz="18" w:space="16" w:color="auto"/>
      </w:pBdr>
      <w:spacing w:before="100" w:beforeAutospacing="1" w:after="100" w:afterAutospacing="1"/>
      <w:jc w:val="center"/>
    </w:pPr>
    <w:rPr>
      <w:b/>
      <w:bCs/>
      <w:sz w:val="31"/>
      <w:szCs w:val="31"/>
    </w:rPr>
  </w:style>
  <w:style w:type="paragraph" w:customStyle="1" w:styleId="omsc-pricing-title-comment1">
    <w:name w:val="omsc-pricing-title-comment1"/>
    <w:basedOn w:val="Normal"/>
    <w:pPr>
      <w:spacing w:before="24" w:after="188"/>
    </w:pPr>
    <w:rPr>
      <w:i/>
      <w:iCs/>
      <w:sz w:val="18"/>
      <w:szCs w:val="18"/>
    </w:rPr>
  </w:style>
  <w:style w:type="paragraph" w:customStyle="1" w:styleId="omsc-pricing-price1">
    <w:name w:val="omsc-pricing-price1"/>
    <w:basedOn w:val="Normal"/>
    <w:pPr>
      <w:shd w:val="clear" w:color="auto" w:fill="777777"/>
      <w:spacing w:before="100" w:beforeAutospacing="1" w:after="100" w:afterAutospacing="1"/>
      <w:jc w:val="center"/>
    </w:pPr>
    <w:rPr>
      <w:color w:val="FFFFFF"/>
      <w:sz w:val="48"/>
      <w:szCs w:val="48"/>
    </w:rPr>
  </w:style>
  <w:style w:type="paragraph" w:customStyle="1" w:styleId="omsc-price-comment1">
    <w:name w:val="omsc-price-comment1"/>
    <w:basedOn w:val="Normal"/>
    <w:pPr>
      <w:spacing w:after="188"/>
    </w:pPr>
    <w:rPr>
      <w:sz w:val="11"/>
      <w:szCs w:val="11"/>
    </w:rPr>
  </w:style>
  <w:style w:type="paragraph" w:customStyle="1" w:styleId="omsc-pricing-button1">
    <w:name w:val="omsc-pricing-button1"/>
    <w:basedOn w:val="Normal"/>
    <w:pPr>
      <w:spacing w:after="188"/>
    </w:pPr>
  </w:style>
  <w:style w:type="paragraph" w:customStyle="1" w:styleId="omsc-button1">
    <w:name w:val="omsc-button1"/>
    <w:basedOn w:val="Normal"/>
    <w:pPr>
      <w:pBdr>
        <w:top w:val="single" w:sz="6" w:space="4" w:color="777777"/>
        <w:left w:val="single" w:sz="6" w:space="16" w:color="777777"/>
        <w:bottom w:val="single" w:sz="2" w:space="5" w:color="777777"/>
        <w:right w:val="single" w:sz="6" w:space="16" w:color="777777"/>
      </w:pBdr>
      <w:shd w:val="clear" w:color="auto" w:fill="777777"/>
      <w:jc w:val="center"/>
    </w:pPr>
    <w:rPr>
      <w:color w:val="FFFFFF"/>
    </w:rPr>
  </w:style>
  <w:style w:type="paragraph" w:customStyle="1" w:styleId="omsc-logos-item1">
    <w:name w:val="omsc-logos-item1"/>
    <w:basedOn w:val="Normal"/>
    <w:pPr>
      <w:spacing w:after="188"/>
      <w:jc w:val="center"/>
    </w:pPr>
  </w:style>
  <w:style w:type="paragraph" w:customStyle="1" w:styleId="entry-thumbnail1">
    <w:name w:val="entry-thumbnail1"/>
    <w:basedOn w:val="Normal"/>
    <w:pPr>
      <w:spacing w:after="188"/>
    </w:pPr>
    <w:rPr>
      <w:vanish/>
    </w:rPr>
  </w:style>
  <w:style w:type="paragraph" w:customStyle="1" w:styleId="small1">
    <w:name w:val="small1"/>
    <w:basedOn w:val="Normal"/>
    <w:pPr>
      <w:spacing w:after="188"/>
    </w:pPr>
    <w:rPr>
      <w:color w:val="A7A9AC"/>
      <w:sz w:val="16"/>
      <w:szCs w:val="16"/>
    </w:rPr>
  </w:style>
  <w:style w:type="paragraph" w:customStyle="1" w:styleId="small2">
    <w:name w:val="small2"/>
    <w:basedOn w:val="Normal"/>
    <w:pPr>
      <w:spacing w:after="188"/>
    </w:pPr>
    <w:rPr>
      <w:color w:val="A7A9AC"/>
      <w:sz w:val="16"/>
      <w:szCs w:val="16"/>
    </w:rPr>
  </w:style>
  <w:style w:type="paragraph" w:customStyle="1" w:styleId="small3">
    <w:name w:val="small3"/>
    <w:basedOn w:val="Normal"/>
    <w:pPr>
      <w:spacing w:after="188"/>
    </w:pPr>
    <w:rPr>
      <w:color w:val="A7A9AC"/>
      <w:sz w:val="16"/>
      <w:szCs w:val="16"/>
    </w:rPr>
  </w:style>
  <w:style w:type="paragraph" w:customStyle="1" w:styleId="small4">
    <w:name w:val="small4"/>
    <w:basedOn w:val="Normal"/>
    <w:pPr>
      <w:spacing w:after="188"/>
    </w:pPr>
    <w:rPr>
      <w:color w:val="A7A9AC"/>
      <w:sz w:val="18"/>
      <w:szCs w:val="18"/>
    </w:rPr>
  </w:style>
  <w:style w:type="paragraph" w:customStyle="1" w:styleId="small5">
    <w:name w:val="small5"/>
    <w:basedOn w:val="Normal"/>
    <w:pPr>
      <w:spacing w:after="188"/>
    </w:pPr>
    <w:rPr>
      <w:color w:val="A7A9AC"/>
      <w:sz w:val="18"/>
      <w:szCs w:val="18"/>
    </w:rPr>
  </w:style>
  <w:style w:type="paragraph" w:customStyle="1" w:styleId="small6">
    <w:name w:val="small6"/>
    <w:basedOn w:val="Normal"/>
    <w:pPr>
      <w:spacing w:after="188"/>
    </w:pPr>
    <w:rPr>
      <w:color w:val="A7A9AC"/>
      <w:sz w:val="18"/>
      <w:szCs w:val="18"/>
    </w:rPr>
  </w:style>
  <w:style w:type="paragraph" w:customStyle="1" w:styleId="small7">
    <w:name w:val="small7"/>
    <w:basedOn w:val="Normal"/>
    <w:pPr>
      <w:spacing w:after="188"/>
    </w:pPr>
    <w:rPr>
      <w:color w:val="A7A9AC"/>
      <w:sz w:val="16"/>
      <w:szCs w:val="16"/>
    </w:rPr>
  </w:style>
  <w:style w:type="paragraph" w:customStyle="1" w:styleId="small8">
    <w:name w:val="small8"/>
    <w:basedOn w:val="Normal"/>
    <w:pPr>
      <w:spacing w:after="188"/>
    </w:pPr>
    <w:rPr>
      <w:color w:val="A7A9AC"/>
      <w:sz w:val="16"/>
      <w:szCs w:val="16"/>
    </w:rPr>
  </w:style>
  <w:style w:type="paragraph" w:customStyle="1" w:styleId="small9">
    <w:name w:val="small9"/>
    <w:basedOn w:val="Normal"/>
    <w:pPr>
      <w:spacing w:after="188"/>
    </w:pPr>
    <w:rPr>
      <w:color w:val="A7A9AC"/>
      <w:sz w:val="16"/>
      <w:szCs w:val="16"/>
    </w:rPr>
  </w:style>
  <w:style w:type="paragraph" w:customStyle="1" w:styleId="small10">
    <w:name w:val="small10"/>
    <w:basedOn w:val="Normal"/>
    <w:pPr>
      <w:spacing w:after="188"/>
    </w:pPr>
    <w:rPr>
      <w:color w:val="A7A9AC"/>
      <w:sz w:val="18"/>
      <w:szCs w:val="18"/>
    </w:rPr>
  </w:style>
  <w:style w:type="paragraph" w:customStyle="1" w:styleId="small11">
    <w:name w:val="small11"/>
    <w:basedOn w:val="Normal"/>
    <w:pPr>
      <w:spacing w:after="188"/>
    </w:pPr>
    <w:rPr>
      <w:color w:val="A7A9AC"/>
      <w:sz w:val="18"/>
      <w:szCs w:val="18"/>
    </w:rPr>
  </w:style>
  <w:style w:type="paragraph" w:customStyle="1" w:styleId="small12">
    <w:name w:val="small12"/>
    <w:basedOn w:val="Normal"/>
    <w:pPr>
      <w:spacing w:after="188"/>
    </w:pPr>
    <w:rPr>
      <w:color w:val="A7A9AC"/>
      <w:sz w:val="18"/>
      <w:szCs w:val="18"/>
    </w:rPr>
  </w:style>
  <w:style w:type="paragraph" w:customStyle="1" w:styleId="table1">
    <w:name w:val="table1"/>
    <w:basedOn w:val="Normal"/>
    <w:pPr>
      <w:shd w:val="clear" w:color="auto" w:fill="FFFFFF"/>
      <w:spacing w:after="375"/>
    </w:pPr>
  </w:style>
  <w:style w:type="paragraph" w:customStyle="1" w:styleId="table2">
    <w:name w:val="table2"/>
    <w:basedOn w:val="Normal"/>
    <w:pPr>
      <w:shd w:val="clear" w:color="auto" w:fill="FFFFFF"/>
      <w:spacing w:after="375"/>
    </w:p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88"/>
    </w:pPr>
    <w:rPr>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pBdr>
        <w:top w:val="single" w:sz="6" w:space="5" w:color="CCCCCC"/>
        <w:left w:val="single" w:sz="6" w:space="9" w:color="CCCCCC"/>
        <w:bottom w:val="single" w:sz="6" w:space="5" w:color="CCCCCC"/>
        <w:right w:val="single" w:sz="6" w:space="9" w:color="CCCCCC"/>
      </w:pBdr>
      <w:shd w:val="clear" w:color="auto" w:fill="FFFFFF"/>
      <w:spacing w:after="188"/>
    </w:pPr>
    <w:rPr>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pBdr>
        <w:top w:val="single" w:sz="6" w:space="5" w:color="CCCCCC"/>
        <w:left w:val="single" w:sz="6" w:space="9" w:color="CCCCCC"/>
        <w:bottom w:val="single" w:sz="6" w:space="5" w:color="CCCCCC"/>
        <w:right w:val="single" w:sz="6" w:space="9" w:color="CCCCCC"/>
      </w:pBdr>
      <w:shd w:val="clear" w:color="auto" w:fill="FFFFFF"/>
      <w:spacing w:after="188"/>
    </w:pPr>
  </w:style>
  <w:style w:type="paragraph" w:customStyle="1" w:styleId="form-control4">
    <w:name w:val="form-control4"/>
    <w:basedOn w:val="Normal"/>
    <w:pPr>
      <w:pBdr>
        <w:top w:val="single" w:sz="6" w:space="5" w:color="E65933"/>
        <w:left w:val="single" w:sz="6" w:space="9" w:color="E65933"/>
        <w:bottom w:val="single" w:sz="6" w:space="5" w:color="E65933"/>
        <w:right w:val="single" w:sz="6" w:space="9" w:color="E65933"/>
      </w:pBdr>
      <w:shd w:val="clear" w:color="auto" w:fill="FFFFFF"/>
      <w:spacing w:after="188"/>
    </w:pPr>
  </w:style>
  <w:style w:type="paragraph" w:customStyle="1" w:styleId="input-group-addon1">
    <w:name w:val="input-group-addon1"/>
    <w:basedOn w:val="Normal"/>
    <w:pPr>
      <w:pBdr>
        <w:top w:val="single" w:sz="6" w:space="5" w:color="E65933"/>
        <w:left w:val="single" w:sz="6" w:space="9" w:color="E65933"/>
        <w:bottom w:val="single" w:sz="6" w:space="5" w:color="E65933"/>
        <w:right w:val="single" w:sz="6" w:space="9" w:color="E65933"/>
      </w:pBdr>
      <w:shd w:val="clear" w:color="auto" w:fill="DFF0D8"/>
      <w:spacing w:after="188"/>
      <w:jc w:val="center"/>
      <w:textAlignment w:val="center"/>
    </w:pPr>
    <w:rPr>
      <w:color w:val="E65933"/>
      <w:sz w:val="21"/>
      <w:szCs w:val="21"/>
    </w:rPr>
  </w:style>
  <w:style w:type="paragraph" w:customStyle="1" w:styleId="form-control5">
    <w:name w:val="form-control5"/>
    <w:basedOn w:val="Normal"/>
    <w:pPr>
      <w:pBdr>
        <w:top w:val="single" w:sz="6" w:space="5" w:color="EBEA64"/>
        <w:left w:val="single" w:sz="6" w:space="9" w:color="EBEA64"/>
        <w:bottom w:val="single" w:sz="6" w:space="5" w:color="EBEA64"/>
        <w:right w:val="single" w:sz="6" w:space="9" w:color="EBEA64"/>
      </w:pBdr>
      <w:shd w:val="clear" w:color="auto" w:fill="FFFFFF"/>
      <w:spacing w:after="188"/>
    </w:pPr>
  </w:style>
  <w:style w:type="paragraph" w:customStyle="1" w:styleId="input-group-addon2">
    <w:name w:val="input-group-addon2"/>
    <w:basedOn w:val="Normal"/>
    <w:pPr>
      <w:pBdr>
        <w:top w:val="single" w:sz="6" w:space="5" w:color="EBEA64"/>
        <w:left w:val="single" w:sz="6" w:space="9" w:color="EBEA64"/>
        <w:bottom w:val="single" w:sz="6" w:space="5" w:color="EBEA64"/>
        <w:right w:val="single" w:sz="6" w:space="9" w:color="EBEA64"/>
      </w:pBdr>
      <w:shd w:val="clear" w:color="auto" w:fill="FCF8E3"/>
      <w:spacing w:after="188"/>
      <w:jc w:val="center"/>
      <w:textAlignment w:val="center"/>
    </w:pPr>
    <w:rPr>
      <w:color w:val="EBEA64"/>
      <w:sz w:val="21"/>
      <w:szCs w:val="21"/>
    </w:rPr>
  </w:style>
  <w:style w:type="paragraph" w:customStyle="1" w:styleId="form-control6">
    <w:name w:val="form-control6"/>
    <w:basedOn w:val="Normal"/>
    <w:pPr>
      <w:pBdr>
        <w:top w:val="single" w:sz="6" w:space="5" w:color="754A7E"/>
        <w:left w:val="single" w:sz="6" w:space="9" w:color="754A7E"/>
        <w:bottom w:val="single" w:sz="6" w:space="5" w:color="754A7E"/>
        <w:right w:val="single" w:sz="6" w:space="9" w:color="754A7E"/>
      </w:pBdr>
      <w:shd w:val="clear" w:color="auto" w:fill="FFFFFF"/>
      <w:spacing w:after="188"/>
    </w:pPr>
  </w:style>
  <w:style w:type="paragraph" w:customStyle="1" w:styleId="input-group-addon3">
    <w:name w:val="input-group-addon3"/>
    <w:basedOn w:val="Normal"/>
    <w:pPr>
      <w:pBdr>
        <w:top w:val="single" w:sz="6" w:space="5" w:color="754A7E"/>
        <w:left w:val="single" w:sz="6" w:space="9" w:color="754A7E"/>
        <w:bottom w:val="single" w:sz="6" w:space="5" w:color="754A7E"/>
        <w:right w:val="single" w:sz="6" w:space="9" w:color="754A7E"/>
      </w:pBdr>
      <w:shd w:val="clear" w:color="auto" w:fill="F2DEDE"/>
      <w:spacing w:after="188"/>
      <w:jc w:val="center"/>
      <w:textAlignment w:val="center"/>
    </w:pPr>
    <w:rPr>
      <w:color w:val="754A7E"/>
      <w:sz w:val="21"/>
      <w:szCs w:val="21"/>
    </w:rPr>
  </w:style>
  <w:style w:type="paragraph" w:customStyle="1" w:styleId="checkbox1">
    <w:name w:val="checkbox1"/>
    <w:basedOn w:val="Normal"/>
  </w:style>
  <w:style w:type="paragraph" w:customStyle="1" w:styleId="checkbox-inline1">
    <w:name w:val="checkbox-inline1"/>
    <w:basedOn w:val="Normal"/>
    <w:pPr>
      <w:textAlignment w:val="center"/>
    </w:pPr>
  </w:style>
  <w:style w:type="paragraph" w:customStyle="1" w:styleId="radio1">
    <w:name w:val="radio1"/>
    <w:basedOn w:val="Normal"/>
  </w:style>
  <w:style w:type="paragraph" w:customStyle="1" w:styleId="radio-inline1">
    <w:name w:val="radio-inline1"/>
    <w:basedOn w:val="Normal"/>
    <w:pPr>
      <w:textAlignment w:val="center"/>
    </w:pPr>
  </w:style>
  <w:style w:type="paragraph" w:customStyle="1" w:styleId="form-group1">
    <w:name w:val="form-group1"/>
    <w:basedOn w:val="Normal"/>
    <w:pPr>
      <w:spacing w:after="225"/>
      <w:ind w:left="-225" w:right="-225"/>
    </w:pPr>
  </w:style>
  <w:style w:type="paragraph" w:customStyle="1" w:styleId="badge1">
    <w:name w:val="badge1"/>
    <w:basedOn w:val="Normal"/>
    <w:pPr>
      <w:shd w:val="clear" w:color="auto" w:fill="333333"/>
      <w:spacing w:after="188"/>
    </w:pPr>
    <w:rPr>
      <w:color w:val="FFFFFF"/>
    </w:rPr>
  </w:style>
  <w:style w:type="paragraph" w:customStyle="1" w:styleId="badge2">
    <w:name w:val="badge2"/>
    <w:basedOn w:val="Normal"/>
    <w:pPr>
      <w:shd w:val="clear" w:color="auto" w:fill="FFFFFF"/>
      <w:spacing w:after="188"/>
    </w:pPr>
    <w:rPr>
      <w:color w:val="FF8200"/>
    </w:rPr>
  </w:style>
  <w:style w:type="paragraph" w:customStyle="1" w:styleId="badge3">
    <w:name w:val="badge3"/>
    <w:basedOn w:val="Normal"/>
    <w:pPr>
      <w:shd w:val="clear" w:color="auto" w:fill="FFFFFF"/>
      <w:spacing w:after="188"/>
    </w:pPr>
    <w:rPr>
      <w:color w:val="E65933"/>
    </w:rPr>
  </w:style>
  <w:style w:type="paragraph" w:customStyle="1" w:styleId="badge4">
    <w:name w:val="badge4"/>
    <w:basedOn w:val="Normal"/>
    <w:pPr>
      <w:shd w:val="clear" w:color="auto" w:fill="FFFFFF"/>
      <w:spacing w:after="188"/>
    </w:pPr>
    <w:rPr>
      <w:color w:val="A7A9AC"/>
    </w:rPr>
  </w:style>
  <w:style w:type="paragraph" w:customStyle="1" w:styleId="badge5">
    <w:name w:val="badge5"/>
    <w:basedOn w:val="Normal"/>
    <w:pPr>
      <w:shd w:val="clear" w:color="auto" w:fill="FFFFFF"/>
      <w:spacing w:after="188"/>
    </w:pPr>
    <w:rPr>
      <w:color w:val="EBEA64"/>
    </w:rPr>
  </w:style>
  <w:style w:type="paragraph" w:customStyle="1" w:styleId="badge6">
    <w:name w:val="badge6"/>
    <w:basedOn w:val="Normal"/>
    <w:pPr>
      <w:shd w:val="clear" w:color="auto" w:fill="FFFFFF"/>
      <w:spacing w:after="188"/>
    </w:pPr>
    <w:rPr>
      <w:color w:val="754A7E"/>
    </w:rPr>
  </w:style>
  <w:style w:type="paragraph" w:customStyle="1" w:styleId="form-group2">
    <w:name w:val="form-group2"/>
    <w:basedOn w:val="Normal"/>
    <w:pPr>
      <w:spacing w:before="300" w:after="120"/>
      <w:ind w:left="612" w:right="612"/>
    </w:pPr>
  </w:style>
  <w:style w:type="paragraph" w:customStyle="1" w:styleId="form-control7">
    <w:name w:val="form-control7"/>
    <w:basedOn w:val="Normal"/>
    <w:pPr>
      <w:pBdr>
        <w:top w:val="single" w:sz="6" w:space="5" w:color="CCCCCC"/>
        <w:left w:val="single" w:sz="6" w:space="9" w:color="CCCCCC"/>
        <w:bottom w:val="single" w:sz="6" w:space="5" w:color="CCCCCC"/>
        <w:right w:val="single" w:sz="6" w:space="9" w:color="CCCCCC"/>
      </w:pBdr>
      <w:shd w:val="clear" w:color="auto" w:fill="FFFFFF"/>
      <w:spacing w:after="188"/>
    </w:pPr>
  </w:style>
  <w:style w:type="paragraph" w:customStyle="1" w:styleId="entry-content1">
    <w:name w:val="entry-content1"/>
    <w:basedOn w:val="Normal"/>
  </w:style>
  <w:style w:type="paragraph" w:customStyle="1" w:styleId="entry-header1">
    <w:name w:val="entry-header1"/>
    <w:basedOn w:val="Normal"/>
  </w:style>
  <w:style w:type="paragraph" w:customStyle="1" w:styleId="entry-meta1">
    <w:name w:val="entry-meta1"/>
    <w:basedOn w:val="Normal"/>
    <w:rPr>
      <w:i/>
      <w:iCs/>
      <w:color w:val="A7A9AC"/>
      <w:sz w:val="18"/>
      <w:szCs w:val="18"/>
    </w:rPr>
  </w:style>
  <w:style w:type="paragraph" w:customStyle="1" w:styleId="entry-summary1">
    <w:name w:val="entry-summary1"/>
    <w:basedOn w:val="Normal"/>
  </w:style>
  <w:style w:type="paragraph" w:customStyle="1" w:styleId="gallery-caption1">
    <w:name w:val="gallery-caption1"/>
    <w:basedOn w:val="Normal"/>
    <w:pPr>
      <w:shd w:val="clear" w:color="auto" w:fill="58595B"/>
    </w:pPr>
    <w:rPr>
      <w:vanish/>
      <w:color w:val="FFFFFF"/>
      <w:sz w:val="18"/>
      <w:szCs w:val="18"/>
    </w:rPr>
  </w:style>
  <w:style w:type="paragraph" w:customStyle="1" w:styleId="gallery-caption2">
    <w:name w:val="gallery-caption2"/>
    <w:basedOn w:val="Normal"/>
    <w:pPr>
      <w:shd w:val="clear" w:color="auto" w:fill="58595B"/>
    </w:pPr>
    <w:rPr>
      <w:vanish/>
      <w:color w:val="FFFFFF"/>
      <w:sz w:val="18"/>
      <w:szCs w:val="18"/>
    </w:rPr>
  </w:style>
  <w:style w:type="paragraph" w:customStyle="1" w:styleId="gallery-caption3">
    <w:name w:val="gallery-caption3"/>
    <w:basedOn w:val="Normal"/>
    <w:pPr>
      <w:shd w:val="clear" w:color="auto" w:fill="58595B"/>
    </w:pPr>
    <w:rPr>
      <w:vanish/>
      <w:color w:val="FFFFFF"/>
      <w:sz w:val="18"/>
      <w:szCs w:val="18"/>
    </w:rPr>
  </w:style>
  <w:style w:type="paragraph" w:customStyle="1" w:styleId="reply1">
    <w:name w:val="reply1"/>
    <w:basedOn w:val="Normal"/>
    <w:pPr>
      <w:spacing w:before="210" w:after="188" w:line="480" w:lineRule="auto"/>
    </w:pPr>
    <w:rPr>
      <w:caps/>
      <w:sz w:val="18"/>
      <w:szCs w:val="18"/>
    </w:rPr>
  </w:style>
  <w:style w:type="paragraph" w:customStyle="1" w:styleId="fn1">
    <w:name w:val="fn1"/>
    <w:basedOn w:val="Normal"/>
    <w:pPr>
      <w:spacing w:after="188"/>
    </w:pPr>
    <w:rPr>
      <w:b/>
      <w:bCs/>
    </w:rPr>
  </w:style>
  <w:style w:type="paragraph" w:customStyle="1" w:styleId="avatar1">
    <w:name w:val="avatar1"/>
    <w:basedOn w:val="Normal"/>
    <w:pPr>
      <w:pBdr>
        <w:top w:val="single" w:sz="6" w:space="2" w:color="A7A9AC"/>
        <w:left w:val="single" w:sz="6" w:space="2" w:color="A7A9AC"/>
        <w:bottom w:val="single" w:sz="6" w:space="2" w:color="A7A9AC"/>
        <w:right w:val="single" w:sz="6" w:space="2" w:color="A7A9AC"/>
      </w:pBdr>
      <w:spacing w:after="188"/>
    </w:pPr>
  </w:style>
  <w:style w:type="paragraph" w:customStyle="1" w:styleId="children1">
    <w:name w:val="children1"/>
    <w:basedOn w:val="Normal"/>
    <w:pPr>
      <w:spacing w:after="188"/>
      <w:ind w:left="210"/>
    </w:pPr>
  </w:style>
  <w:style w:type="paragraph" w:customStyle="1" w:styleId="comment-respond1">
    <w:name w:val="comment-respond1"/>
    <w:basedOn w:val="Normal"/>
    <w:pPr>
      <w:spacing w:before="420" w:after="420"/>
    </w:pPr>
  </w:style>
  <w:style w:type="paragraph" w:customStyle="1" w:styleId="comment-form-author1">
    <w:name w:val="comment-form-author1"/>
    <w:basedOn w:val="Normal"/>
    <w:pPr>
      <w:spacing w:after="210"/>
      <w:textAlignment w:val="center"/>
    </w:pPr>
  </w:style>
  <w:style w:type="paragraph" w:customStyle="1" w:styleId="comment-form-comment1">
    <w:name w:val="comment-form-comment1"/>
    <w:basedOn w:val="Normal"/>
    <w:pPr>
      <w:spacing w:after="210"/>
      <w:textAlignment w:val="center"/>
    </w:pPr>
  </w:style>
  <w:style w:type="paragraph" w:customStyle="1" w:styleId="comment-form-email1">
    <w:name w:val="comment-form-email1"/>
    <w:basedOn w:val="Normal"/>
    <w:pPr>
      <w:spacing w:after="210"/>
      <w:textAlignment w:val="center"/>
    </w:pPr>
  </w:style>
  <w:style w:type="paragraph" w:customStyle="1" w:styleId="comment-form-url1">
    <w:name w:val="comment-form-url1"/>
    <w:basedOn w:val="Normal"/>
    <w:pPr>
      <w:spacing w:after="210"/>
      <w:textAlignment w:val="center"/>
    </w:pPr>
  </w:style>
  <w:style w:type="paragraph" w:customStyle="1" w:styleId="widget1">
    <w:name w:val="widget1"/>
    <w:basedOn w:val="Normal"/>
    <w:pPr>
      <w:shd w:val="clear" w:color="auto" w:fill="FFFFFF"/>
    </w:pPr>
  </w:style>
  <w:style w:type="paragraph" w:customStyle="1" w:styleId="widget2">
    <w:name w:val="widget2"/>
    <w:basedOn w:val="Normal"/>
    <w:pPr>
      <w:shd w:val="clear" w:color="auto" w:fill="FFFFFF"/>
    </w:pPr>
  </w:style>
  <w:style w:type="paragraph" w:customStyle="1" w:styleId="homebutton1">
    <w:name w:val="home_button1"/>
    <w:basedOn w:val="Normal"/>
    <w:pPr>
      <w:spacing w:after="188"/>
    </w:pPr>
  </w:style>
  <w:style w:type="paragraph" w:customStyle="1" w:styleId="megamenu-sub1">
    <w:name w:val="megamenu-sub1"/>
    <w:basedOn w:val="Normal"/>
    <w:pPr>
      <w:pBdr>
        <w:left w:val="single" w:sz="12" w:space="0" w:color="A7A9AC"/>
      </w:pBdr>
      <w:shd w:val="clear" w:color="auto" w:fill="FFFFFF"/>
      <w:spacing w:after="188"/>
    </w:pPr>
  </w:style>
  <w:style w:type="paragraph" w:customStyle="1" w:styleId="fa3">
    <w:name w:val="fa3"/>
    <w:basedOn w:val="Normal"/>
    <w:pPr>
      <w:spacing w:before="84" w:after="188"/>
    </w:pPr>
    <w:rPr>
      <w:rFonts w:ascii="FontAwesome" w:hAnsi="FontAwesome"/>
    </w:rPr>
  </w:style>
  <w:style w:type="paragraph" w:customStyle="1" w:styleId="sitetile1">
    <w:name w:val="sitetile1"/>
    <w:basedOn w:val="Normal"/>
    <w:pPr>
      <w:spacing w:after="188"/>
    </w:pPr>
    <w:rPr>
      <w:color w:val="58595B"/>
      <w:sz w:val="27"/>
      <w:szCs w:val="27"/>
    </w:rPr>
  </w:style>
  <w:style w:type="paragraph" w:customStyle="1" w:styleId="sitetile2">
    <w:name w:val="sitetile2"/>
    <w:basedOn w:val="Normal"/>
    <w:pPr>
      <w:spacing w:after="188"/>
    </w:pPr>
    <w:rPr>
      <w:color w:val="58595B"/>
      <w:sz w:val="27"/>
      <w:szCs w:val="27"/>
    </w:rPr>
  </w:style>
  <w:style w:type="paragraph" w:customStyle="1" w:styleId="form-group3">
    <w:name w:val="form-group3"/>
    <w:basedOn w:val="Normal"/>
    <w:pPr>
      <w:spacing w:after="225"/>
      <w:ind w:right="244"/>
    </w:pPr>
  </w:style>
  <w:style w:type="paragraph" w:customStyle="1" w:styleId="widget-title1">
    <w:name w:val="widget-title1"/>
    <w:basedOn w:val="Normal"/>
    <w:pPr>
      <w:spacing w:after="188"/>
    </w:pPr>
  </w:style>
  <w:style w:type="paragraph" w:customStyle="1" w:styleId="widget-area1">
    <w:name w:val="widget-area1"/>
    <w:basedOn w:val="Normal"/>
    <w:pPr>
      <w:ind w:left="612" w:right="612"/>
    </w:pPr>
  </w:style>
  <w:style w:type="paragraph" w:customStyle="1" w:styleId="panel-group1">
    <w:name w:val="panel-group1"/>
    <w:basedOn w:val="Normal"/>
    <w:pPr>
      <w:spacing w:after="210"/>
    </w:pPr>
  </w:style>
  <w:style w:type="paragraph" w:customStyle="1" w:styleId="tab-content1">
    <w:name w:val="tab-content1"/>
    <w:basedOn w:val="Normal"/>
    <w:pPr>
      <w:pBdr>
        <w:bottom w:val="single" w:sz="6" w:space="0" w:color="DDDDDD"/>
      </w:pBdr>
      <w:spacing w:after="375"/>
    </w:pPr>
  </w:style>
  <w:style w:type="paragraph" w:customStyle="1" w:styleId="tab-content2">
    <w:name w:val="tab-content2"/>
    <w:basedOn w:val="Normal"/>
    <w:pPr>
      <w:spacing w:after="375"/>
    </w:pPr>
  </w:style>
  <w:style w:type="paragraph" w:customStyle="1" w:styleId="tab-content3">
    <w:name w:val="tab-content3"/>
    <w:basedOn w:val="Normal"/>
    <w:pPr>
      <w:spacing w:after="375"/>
    </w:pPr>
  </w:style>
  <w:style w:type="paragraph" w:customStyle="1" w:styleId="tab-content4">
    <w:name w:val="tab-content4"/>
    <w:basedOn w:val="Normal"/>
    <w:pPr>
      <w:spacing w:after="375"/>
    </w:pPr>
  </w:style>
  <w:style w:type="paragraph" w:customStyle="1" w:styleId="tab-content5">
    <w:name w:val="tab-content5"/>
    <w:basedOn w:val="Normal"/>
    <w:pPr>
      <w:spacing w:after="375"/>
    </w:pPr>
  </w:style>
  <w:style w:type="paragraph" w:customStyle="1" w:styleId="gfielderror1">
    <w:name w:val="gfield_error1"/>
    <w:basedOn w:val="Normal"/>
    <w:pPr>
      <w:pBdr>
        <w:top w:val="single" w:sz="6" w:space="9" w:color="DDDDDD"/>
        <w:left w:val="single" w:sz="6" w:space="9" w:color="DDDDDD"/>
        <w:bottom w:val="single" w:sz="6" w:space="9" w:color="DDDDDD"/>
        <w:right w:val="single" w:sz="6" w:space="9" w:color="DDDDDD"/>
      </w:pBdr>
      <w:shd w:val="clear" w:color="auto" w:fill="FFFFFF"/>
      <w:spacing w:after="375"/>
    </w:pPr>
  </w:style>
  <w:style w:type="paragraph" w:customStyle="1" w:styleId="gformwrapper1">
    <w:name w:val="gform_wrapper1"/>
    <w:basedOn w:val="Normal"/>
    <w:pPr>
      <w:spacing w:after="188"/>
    </w:pPr>
  </w:style>
  <w:style w:type="paragraph" w:customStyle="1" w:styleId="gfield1">
    <w:name w:val="gfield1"/>
    <w:basedOn w:val="Normal"/>
    <w:pPr>
      <w:spacing w:after="150"/>
    </w:pPr>
  </w:style>
  <w:style w:type="paragraph" w:customStyle="1" w:styleId="gfprogressbar1">
    <w:name w:val="gf_progressbar1"/>
    <w:basedOn w:val="Normal"/>
    <w:pPr>
      <w:shd w:val="clear" w:color="auto" w:fill="F5F5F5"/>
      <w:spacing w:after="375"/>
    </w:pPr>
  </w:style>
  <w:style w:type="paragraph" w:customStyle="1" w:styleId="gfprogressbarpercentage1">
    <w:name w:val="gf_progressbar_percentage1"/>
    <w:basedOn w:val="Normal"/>
    <w:pPr>
      <w:shd w:val="clear" w:color="auto" w:fill="FF8200"/>
      <w:spacing w:after="188" w:line="375" w:lineRule="atLeast"/>
      <w:jc w:val="center"/>
    </w:pPr>
    <w:rPr>
      <w:color w:val="FFFFFF"/>
      <w:sz w:val="18"/>
      <w:szCs w:val="18"/>
    </w:rPr>
  </w:style>
  <w:style w:type="paragraph" w:customStyle="1" w:styleId="gfieldlabel1">
    <w:name w:val="gfield_label1"/>
    <w:basedOn w:val="Normal"/>
    <w:pPr>
      <w:spacing w:after="188"/>
    </w:pPr>
    <w:rPr>
      <w:color w:val="E65933"/>
    </w:rPr>
  </w:style>
  <w:style w:type="paragraph" w:customStyle="1" w:styleId="gfieldrequired1">
    <w:name w:val="gfield_required1"/>
    <w:basedOn w:val="Normal"/>
    <w:pPr>
      <w:spacing w:after="188"/>
    </w:pPr>
    <w:rPr>
      <w:color w:val="E65933"/>
    </w:rPr>
  </w:style>
  <w:style w:type="paragraph" w:customStyle="1" w:styleId="validationmessage1">
    <w:name w:val="validation_message1"/>
    <w:basedOn w:val="Normal"/>
    <w:pPr>
      <w:spacing w:after="188"/>
    </w:pPr>
    <w:rPr>
      <w:color w:val="E65933"/>
    </w:rPr>
  </w:style>
  <w:style w:type="paragraph" w:customStyle="1" w:styleId="gfprogressbarpercentage2">
    <w:name w:val="gf_progressbar_percentage2"/>
    <w:basedOn w:val="Normal"/>
    <w:pPr>
      <w:shd w:val="clear" w:color="auto" w:fill="E65933"/>
      <w:spacing w:after="188" w:line="375" w:lineRule="atLeast"/>
      <w:jc w:val="center"/>
    </w:pPr>
    <w:rPr>
      <w:color w:val="FFFFFF"/>
      <w:sz w:val="18"/>
      <w:szCs w:val="18"/>
    </w:rPr>
  </w:style>
  <w:style w:type="paragraph" w:customStyle="1" w:styleId="gfprogressbarpercentage3">
    <w:name w:val="gf_progressbar_percentage3"/>
    <w:basedOn w:val="Normal"/>
    <w:pPr>
      <w:shd w:val="clear" w:color="auto" w:fill="58595B"/>
      <w:spacing w:after="188" w:line="375" w:lineRule="atLeast"/>
      <w:jc w:val="center"/>
    </w:pPr>
    <w:rPr>
      <w:color w:val="FFFFFF"/>
      <w:sz w:val="18"/>
      <w:szCs w:val="18"/>
    </w:rPr>
  </w:style>
  <w:style w:type="paragraph" w:customStyle="1" w:styleId="gfprogressbarpercentage4">
    <w:name w:val="gf_progressbar_percentage4"/>
    <w:basedOn w:val="Normal"/>
    <w:pPr>
      <w:shd w:val="clear" w:color="auto" w:fill="00746F"/>
      <w:spacing w:after="188" w:line="375" w:lineRule="atLeast"/>
      <w:jc w:val="center"/>
    </w:pPr>
    <w:rPr>
      <w:color w:val="FFFFFF"/>
      <w:sz w:val="18"/>
      <w:szCs w:val="18"/>
    </w:rPr>
  </w:style>
  <w:style w:type="paragraph" w:customStyle="1" w:styleId="gfprogressbarpercentage5">
    <w:name w:val="gf_progressbar_percentage5"/>
    <w:basedOn w:val="Normal"/>
    <w:pPr>
      <w:shd w:val="clear" w:color="auto" w:fill="006C93"/>
      <w:spacing w:after="188" w:line="375" w:lineRule="atLeast"/>
      <w:jc w:val="center"/>
    </w:pPr>
    <w:rPr>
      <w:color w:val="FFFFFF"/>
      <w:sz w:val="18"/>
      <w:szCs w:val="18"/>
    </w:rPr>
  </w:style>
  <w:style w:type="paragraph" w:customStyle="1" w:styleId="gfprogressbarpercentage6">
    <w:name w:val="gf_progressbar_percentage6"/>
    <w:basedOn w:val="Normal"/>
    <w:pPr>
      <w:shd w:val="clear" w:color="auto" w:fill="FFD530"/>
      <w:spacing w:after="188" w:line="375" w:lineRule="atLeast"/>
      <w:jc w:val="center"/>
    </w:pPr>
    <w:rPr>
      <w:color w:val="FFFFFF"/>
      <w:sz w:val="18"/>
      <w:szCs w:val="18"/>
    </w:rPr>
  </w:style>
  <w:style w:type="paragraph" w:customStyle="1" w:styleId="gfprogressbarpercentage7">
    <w:name w:val="gf_progressbar_percentage7"/>
    <w:basedOn w:val="Normal"/>
    <w:pPr>
      <w:shd w:val="clear" w:color="auto" w:fill="517C96"/>
      <w:spacing w:after="188" w:line="375" w:lineRule="atLeast"/>
      <w:jc w:val="center"/>
    </w:pPr>
    <w:rPr>
      <w:color w:val="FFFFFF"/>
      <w:sz w:val="18"/>
      <w:szCs w:val="18"/>
    </w:rPr>
  </w:style>
  <w:style w:type="paragraph" w:customStyle="1" w:styleId="gfprogressbarpercentage8">
    <w:name w:val="gf_progressbar_percentage8"/>
    <w:basedOn w:val="Normal"/>
    <w:pPr>
      <w:shd w:val="clear" w:color="auto" w:fill="8D2048"/>
      <w:spacing w:after="188" w:line="375" w:lineRule="atLeast"/>
      <w:jc w:val="center"/>
    </w:pPr>
    <w:rPr>
      <w:color w:val="FFFFFF"/>
      <w:sz w:val="18"/>
      <w:szCs w:val="18"/>
    </w:rPr>
  </w:style>
  <w:style w:type="paragraph" w:customStyle="1" w:styleId="gfprogressbarpercentage9">
    <w:name w:val="gf_progressbar_percentage9"/>
    <w:basedOn w:val="Normal"/>
    <w:pPr>
      <w:shd w:val="clear" w:color="auto" w:fill="A7A9AC"/>
      <w:spacing w:after="188" w:line="375" w:lineRule="atLeast"/>
      <w:jc w:val="center"/>
    </w:pPr>
    <w:rPr>
      <w:color w:val="FFFFFF"/>
      <w:sz w:val="18"/>
      <w:szCs w:val="18"/>
    </w:rPr>
  </w:style>
  <w:style w:type="paragraph" w:customStyle="1" w:styleId="gfprogressbarpercentage10">
    <w:name w:val="gf_progressbar_percentage10"/>
    <w:basedOn w:val="Normal"/>
    <w:pPr>
      <w:shd w:val="clear" w:color="auto" w:fill="754A7E"/>
      <w:spacing w:after="188" w:line="375" w:lineRule="atLeast"/>
      <w:jc w:val="center"/>
    </w:pPr>
    <w:rPr>
      <w:color w:val="FFFFFF"/>
      <w:sz w:val="18"/>
      <w:szCs w:val="18"/>
    </w:rPr>
  </w:style>
  <w:style w:type="paragraph" w:customStyle="1" w:styleId="gfprogressbarpercentage11">
    <w:name w:val="gf_progressbar_percentage11"/>
    <w:basedOn w:val="Normal"/>
    <w:pPr>
      <w:shd w:val="clear" w:color="auto" w:fill="B6E1E2"/>
      <w:spacing w:after="188" w:line="375" w:lineRule="atLeast"/>
      <w:jc w:val="center"/>
    </w:pPr>
    <w:rPr>
      <w:color w:val="FFFFFF"/>
      <w:sz w:val="18"/>
      <w:szCs w:val="18"/>
    </w:rPr>
  </w:style>
  <w:style w:type="paragraph" w:customStyle="1" w:styleId="gfprogressbarpercentage12">
    <w:name w:val="gf_progressbar_percentage12"/>
    <w:basedOn w:val="Normal"/>
    <w:pPr>
      <w:shd w:val="clear" w:color="auto" w:fill="579584"/>
      <w:spacing w:after="188" w:line="375" w:lineRule="atLeast"/>
      <w:jc w:val="center"/>
    </w:pPr>
    <w:rPr>
      <w:color w:val="FFFFFF"/>
      <w:sz w:val="18"/>
      <w:szCs w:val="18"/>
    </w:rPr>
  </w:style>
  <w:style w:type="paragraph" w:customStyle="1" w:styleId="gfprogressbarpercentage13">
    <w:name w:val="gf_progressbar_percentage13"/>
    <w:basedOn w:val="Normal"/>
    <w:pPr>
      <w:shd w:val="clear" w:color="auto" w:fill="ABC178"/>
      <w:spacing w:after="188" w:line="375" w:lineRule="atLeast"/>
      <w:jc w:val="center"/>
    </w:pPr>
    <w:rPr>
      <w:color w:val="FFFFFF"/>
      <w:sz w:val="18"/>
      <w:szCs w:val="18"/>
    </w:rPr>
  </w:style>
  <w:style w:type="paragraph" w:customStyle="1" w:styleId="gfprogressbarpercentage14">
    <w:name w:val="gf_progressbar_percentage14"/>
    <w:basedOn w:val="Normal"/>
    <w:pPr>
      <w:shd w:val="clear" w:color="auto" w:fill="EBEA64"/>
      <w:spacing w:after="188" w:line="375" w:lineRule="atLeast"/>
      <w:jc w:val="center"/>
    </w:pPr>
    <w:rPr>
      <w:color w:val="FFFFFF"/>
      <w:sz w:val="18"/>
      <w:szCs w:val="18"/>
    </w:rPr>
  </w:style>
  <w:style w:type="paragraph" w:customStyle="1" w:styleId="gfprogressbarpercentage15">
    <w:name w:val="gf_progressbar_percentage15"/>
    <w:basedOn w:val="Normal"/>
    <w:pPr>
      <w:shd w:val="clear" w:color="auto" w:fill="EE3E80"/>
      <w:spacing w:after="188" w:line="375" w:lineRule="atLeast"/>
      <w:jc w:val="center"/>
    </w:pPr>
    <w:rPr>
      <w:color w:val="FFFFFF"/>
      <w:sz w:val="18"/>
      <w:szCs w:val="18"/>
    </w:rPr>
  </w:style>
  <w:style w:type="paragraph" w:customStyle="1" w:styleId="quote-author1">
    <w:name w:val="quote-author1"/>
    <w:basedOn w:val="Normal"/>
    <w:pPr>
      <w:spacing w:after="188"/>
    </w:pPr>
    <w:rPr>
      <w:i/>
      <w:iCs/>
      <w:color w:val="EBEA64"/>
      <w:sz w:val="27"/>
      <w:szCs w:val="27"/>
    </w:rPr>
  </w:style>
  <w:style w:type="paragraph" w:customStyle="1" w:styleId="mod-gallery1">
    <w:name w:val="mod-gallery1"/>
    <w:basedOn w:val="Normal"/>
  </w:style>
  <w:style w:type="paragraph" w:customStyle="1" w:styleId="alert-icon1">
    <w:name w:val="alert-icon1"/>
    <w:basedOn w:val="Normal"/>
    <w:pPr>
      <w:spacing w:after="188"/>
    </w:pPr>
  </w:style>
  <w:style w:type="paragraph" w:customStyle="1" w:styleId="fa4">
    <w:name w:val="fa4"/>
    <w:basedOn w:val="Normal"/>
    <w:pPr>
      <w:spacing w:after="188" w:line="1455" w:lineRule="atLeast"/>
    </w:pPr>
    <w:rPr>
      <w:rFonts w:ascii="FontAwesome" w:hAnsi="FontAwesome"/>
      <w:sz w:val="120"/>
      <w:szCs w:val="120"/>
    </w:rPr>
  </w:style>
  <w:style w:type="paragraph" w:customStyle="1" w:styleId="alertbutton1">
    <w:name w:val="alertbutton1"/>
    <w:basedOn w:val="Normal"/>
    <w:pPr>
      <w:shd w:val="clear" w:color="auto" w:fill="58595B"/>
      <w:spacing w:after="48"/>
    </w:pPr>
    <w:rPr>
      <w:color w:val="EBEA64"/>
    </w:rPr>
  </w:style>
  <w:style w:type="paragraph" w:customStyle="1" w:styleId="form-control8">
    <w:name w:val="form-control8"/>
    <w:basedOn w:val="Normal"/>
    <w:pPr>
      <w:pBdr>
        <w:top w:val="single" w:sz="6" w:space="5" w:color="CCCCCC"/>
        <w:left w:val="single" w:sz="6" w:space="9" w:color="CCCCCC"/>
        <w:bottom w:val="single" w:sz="6" w:space="5" w:color="CCCCCC"/>
        <w:right w:val="single" w:sz="6" w:space="9" w:color="CCCCCC"/>
      </w:pBdr>
      <w:shd w:val="clear" w:color="auto" w:fill="FFFFFF"/>
    </w:pPr>
  </w:style>
  <w:style w:type="paragraph" w:customStyle="1" w:styleId="nav-divider1">
    <w:name w:val="nav-divider1"/>
    <w:basedOn w:val="Normal"/>
    <w:pPr>
      <w:shd w:val="clear" w:color="auto" w:fill="E5E5E5"/>
      <w:spacing w:before="173" w:after="173"/>
    </w:pPr>
  </w:style>
  <w:style w:type="paragraph" w:customStyle="1" w:styleId="dropdown-menu1">
    <w:name w:val="dropdown-menu1"/>
    <w:basedOn w:val="Normal"/>
    <w:pPr>
      <w:spacing w:after="188"/>
    </w:pPr>
  </w:style>
  <w:style w:type="paragraph" w:customStyle="1" w:styleId="icon-bar1">
    <w:name w:val="icon-bar1"/>
    <w:basedOn w:val="Normal"/>
    <w:pPr>
      <w:spacing w:after="188"/>
    </w:pPr>
  </w:style>
  <w:style w:type="paragraph" w:customStyle="1" w:styleId="navbar-brand1">
    <w:name w:val="navbar-brand1"/>
    <w:basedOn w:val="Normal"/>
    <w:pPr>
      <w:spacing w:after="188" w:line="375" w:lineRule="atLeast"/>
    </w:pPr>
    <w:rPr>
      <w:color w:val="777777"/>
      <w:sz w:val="27"/>
      <w:szCs w:val="27"/>
    </w:rPr>
  </w:style>
  <w:style w:type="paragraph" w:customStyle="1" w:styleId="navbar-navlia1">
    <w:name w:val="navbar-nav&gt;li&gt;a1"/>
    <w:basedOn w:val="Normal"/>
    <w:pPr>
      <w:spacing w:after="188" w:line="375" w:lineRule="atLeast"/>
    </w:pPr>
    <w:rPr>
      <w:color w:val="777777"/>
    </w:rPr>
  </w:style>
  <w:style w:type="paragraph" w:customStyle="1" w:styleId="navbar-text1">
    <w:name w:val="navbar-text1"/>
    <w:basedOn w:val="Normal"/>
    <w:pPr>
      <w:spacing w:before="188" w:after="188"/>
    </w:pPr>
    <w:rPr>
      <w:color w:val="777777"/>
    </w:rPr>
  </w:style>
  <w:style w:type="paragraph" w:customStyle="1" w:styleId="navbar-toggle1">
    <w:name w:val="navbar-toggle1"/>
    <w:basedOn w:val="Normal"/>
    <w:pPr>
      <w:spacing w:before="120" w:after="120"/>
      <w:ind w:right="225"/>
    </w:pPr>
  </w:style>
  <w:style w:type="paragraph" w:customStyle="1" w:styleId="icon-bar2">
    <w:name w:val="icon-bar2"/>
    <w:basedOn w:val="Normal"/>
    <w:pPr>
      <w:shd w:val="clear" w:color="auto" w:fill="888888"/>
      <w:spacing w:after="188"/>
    </w:pPr>
  </w:style>
  <w:style w:type="paragraph" w:customStyle="1" w:styleId="navbar-collapse1">
    <w:name w:val="navbar-collapse1"/>
    <w:basedOn w:val="Normal"/>
    <w:pPr>
      <w:spacing w:after="188"/>
    </w:pPr>
  </w:style>
  <w:style w:type="paragraph" w:customStyle="1" w:styleId="navbar-form1">
    <w:name w:val="navbar-form1"/>
    <w:basedOn w:val="Normal"/>
    <w:pPr>
      <w:spacing w:before="83" w:after="83"/>
      <w:ind w:left="-225" w:right="-225"/>
    </w:pPr>
  </w:style>
  <w:style w:type="paragraph" w:customStyle="1" w:styleId="navbar-link1">
    <w:name w:val="navbar-link1"/>
    <w:basedOn w:val="Normal"/>
    <w:pPr>
      <w:spacing w:after="188"/>
    </w:pPr>
    <w:rPr>
      <w:color w:val="777777"/>
    </w:rPr>
  </w:style>
  <w:style w:type="paragraph" w:customStyle="1" w:styleId="navbar-link2">
    <w:name w:val="navbar-link2"/>
    <w:basedOn w:val="Normal"/>
    <w:pPr>
      <w:spacing w:after="188"/>
    </w:pPr>
    <w:rPr>
      <w:color w:val="333333"/>
    </w:rPr>
  </w:style>
  <w:style w:type="paragraph" w:customStyle="1" w:styleId="btn-link1">
    <w:name w:val="btn-link1"/>
    <w:basedOn w:val="Normal"/>
    <w:pPr>
      <w:spacing w:after="188"/>
    </w:pPr>
    <w:rPr>
      <w:color w:val="777777"/>
    </w:rPr>
  </w:style>
  <w:style w:type="paragraph" w:customStyle="1" w:styleId="navbar-brand2">
    <w:name w:val="navbar-brand2"/>
    <w:basedOn w:val="Normal"/>
    <w:pPr>
      <w:spacing w:after="188" w:line="375" w:lineRule="atLeast"/>
    </w:pPr>
    <w:rPr>
      <w:color w:val="A7A9AC"/>
      <w:sz w:val="27"/>
      <w:szCs w:val="27"/>
    </w:rPr>
  </w:style>
  <w:style w:type="paragraph" w:customStyle="1" w:styleId="navbar-navlia2">
    <w:name w:val="navbar-nav&gt;li&gt;a2"/>
    <w:basedOn w:val="Normal"/>
    <w:pPr>
      <w:spacing w:after="188" w:line="375" w:lineRule="atLeast"/>
    </w:pPr>
    <w:rPr>
      <w:color w:val="A7A9AC"/>
    </w:rPr>
  </w:style>
  <w:style w:type="paragraph" w:customStyle="1" w:styleId="navbar-text2">
    <w:name w:val="navbar-text2"/>
    <w:basedOn w:val="Normal"/>
    <w:pPr>
      <w:spacing w:before="188" w:after="188"/>
    </w:pPr>
    <w:rPr>
      <w:color w:val="A7A9AC"/>
    </w:rPr>
  </w:style>
  <w:style w:type="paragraph" w:customStyle="1" w:styleId="navbar-toggle2">
    <w:name w:val="navbar-toggle2"/>
    <w:basedOn w:val="Normal"/>
    <w:pPr>
      <w:spacing w:before="120" w:after="120"/>
      <w:ind w:right="225"/>
    </w:pPr>
  </w:style>
  <w:style w:type="paragraph" w:customStyle="1" w:styleId="icon-bar3">
    <w:name w:val="icon-bar3"/>
    <w:basedOn w:val="Normal"/>
    <w:pPr>
      <w:shd w:val="clear" w:color="auto" w:fill="FFFFFF"/>
      <w:spacing w:after="188"/>
    </w:pPr>
  </w:style>
  <w:style w:type="paragraph" w:customStyle="1" w:styleId="navbar-collapse2">
    <w:name w:val="navbar-collapse2"/>
    <w:basedOn w:val="Normal"/>
    <w:pPr>
      <w:spacing w:after="188"/>
    </w:pPr>
  </w:style>
  <w:style w:type="paragraph" w:customStyle="1" w:styleId="navbar-form2">
    <w:name w:val="navbar-form2"/>
    <w:basedOn w:val="Normal"/>
    <w:pPr>
      <w:spacing w:before="83" w:after="83"/>
      <w:ind w:left="-225" w:right="-225"/>
    </w:pPr>
  </w:style>
  <w:style w:type="paragraph" w:customStyle="1" w:styleId="navbar-link3">
    <w:name w:val="navbar-link3"/>
    <w:basedOn w:val="Normal"/>
    <w:pPr>
      <w:spacing w:after="188"/>
    </w:pPr>
    <w:rPr>
      <w:color w:val="A7A9AC"/>
    </w:rPr>
  </w:style>
  <w:style w:type="paragraph" w:customStyle="1" w:styleId="navbar-link4">
    <w:name w:val="navbar-link4"/>
    <w:basedOn w:val="Normal"/>
    <w:pPr>
      <w:spacing w:after="188"/>
    </w:pPr>
    <w:rPr>
      <w:color w:val="FFFFFF"/>
    </w:rPr>
  </w:style>
  <w:style w:type="paragraph" w:customStyle="1" w:styleId="btn-link2">
    <w:name w:val="btn-link2"/>
    <w:basedOn w:val="Normal"/>
    <w:pPr>
      <w:spacing w:after="188"/>
    </w:pPr>
    <w:rPr>
      <w:color w:val="A7A9AC"/>
    </w:rPr>
  </w:style>
  <w:style w:type="paragraph" w:customStyle="1" w:styleId="panel1">
    <w:name w:val="panel1"/>
    <w:basedOn w:val="Normal"/>
    <w:pPr>
      <w:shd w:val="clear" w:color="auto" w:fill="FFFFFF"/>
    </w:pPr>
  </w:style>
  <w:style w:type="paragraph" w:customStyle="1" w:styleId="panel-footer1">
    <w:name w:val="panel-footer1"/>
    <w:basedOn w:val="Normal"/>
    <w:pPr>
      <w:shd w:val="clear" w:color="auto" w:fill="FFFFFF"/>
      <w:spacing w:after="188"/>
    </w:pPr>
  </w:style>
  <w:style w:type="paragraph" w:customStyle="1" w:styleId="close1">
    <w:name w:val="close1"/>
    <w:basedOn w:val="Normal"/>
    <w:pPr>
      <w:spacing w:after="188"/>
    </w:pPr>
  </w:style>
  <w:style w:type="paragraph" w:customStyle="1" w:styleId="search1">
    <w:name w:val="search1"/>
    <w:basedOn w:val="Normal"/>
    <w:pPr>
      <w:spacing w:after="188"/>
      <w:jc w:val="center"/>
    </w:pPr>
    <w:rPr>
      <w:color w:val="FF8200"/>
    </w:rPr>
  </w:style>
  <w:style w:type="paragraph" w:customStyle="1" w:styleId="empty-message1">
    <w:name w:val="empty-message1"/>
    <w:basedOn w:val="Normal"/>
    <w:pPr>
      <w:spacing w:after="188"/>
      <w:jc w:val="center"/>
    </w:pPr>
  </w:style>
  <w:style w:type="paragraph" w:customStyle="1" w:styleId="league-name1">
    <w:name w:val="league-name1"/>
    <w:basedOn w:val="Normal"/>
    <w:pPr>
      <w:pBdr>
        <w:bottom w:val="single" w:sz="6" w:space="2" w:color="CCCCCC"/>
      </w:pBdr>
      <w:spacing w:after="75"/>
      <w:ind w:left="300" w:right="300"/>
    </w:pPr>
  </w:style>
  <w:style w:type="paragraph" w:customStyle="1" w:styleId="tt-dropdown-menu1">
    <w:name w:val="tt-dropdown-menu1"/>
    <w:basedOn w:val="Normal"/>
    <w:pPr>
      <w:pBdr>
        <w:top w:val="single" w:sz="6" w:space="6" w:color="CCCCCC"/>
        <w:left w:val="single" w:sz="6" w:space="0" w:color="CCCCCC"/>
        <w:bottom w:val="single" w:sz="6" w:space="6" w:color="CCCCCC"/>
        <w:right w:val="single" w:sz="6" w:space="0" w:color="CCCCCC"/>
      </w:pBdr>
      <w:shd w:val="clear" w:color="auto" w:fill="FFFFFF"/>
      <w:spacing w:before="180" w:after="188"/>
      <w:jc w:val="right"/>
    </w:pPr>
  </w:style>
  <w:style w:type="paragraph" w:customStyle="1" w:styleId="modal-content1">
    <w:name w:val="modal-content1"/>
    <w:basedOn w:val="Normal"/>
    <w:pPr>
      <w:spacing w:before="100" w:beforeAutospacing="1" w:after="100" w:afterAutospacing="1"/>
    </w:pPr>
  </w:style>
  <w:style w:type="paragraph" w:customStyle="1" w:styleId="ekko-lightbox-container1">
    <w:name w:val="ekko-lightbox-container1"/>
    <w:basedOn w:val="Normal"/>
    <w:pPr>
      <w:shd w:val="clear" w:color="auto" w:fill="FFFFFF"/>
      <w:spacing w:before="180" w:after="188"/>
    </w:pPr>
  </w:style>
  <w:style w:type="paragraph" w:customStyle="1" w:styleId="ekko-lightbox-nav-overlay1">
    <w:name w:val="ekko-lightbox-nav-overlay1"/>
    <w:basedOn w:val="Normal"/>
    <w:pPr>
      <w:spacing w:after="188"/>
    </w:pPr>
  </w:style>
  <w:style w:type="paragraph" w:customStyle="1" w:styleId="modal-header1">
    <w:name w:val="modal-header1"/>
    <w:basedOn w:val="Normal"/>
    <w:pPr>
      <w:spacing w:after="188"/>
    </w:pPr>
  </w:style>
  <w:style w:type="paragraph" w:customStyle="1" w:styleId="close2">
    <w:name w:val="close2"/>
    <w:basedOn w:val="Normal"/>
    <w:pPr>
      <w:spacing w:before="75" w:after="188"/>
    </w:pPr>
    <w:rPr>
      <w:b/>
      <w:bCs/>
      <w:color w:val="FFFFFF"/>
      <w:sz w:val="27"/>
      <w:szCs w:val="27"/>
    </w:rPr>
  </w:style>
  <w:style w:type="paragraph" w:customStyle="1" w:styleId="modal-body1">
    <w:name w:val="modal-body1"/>
    <w:basedOn w:val="Normal"/>
  </w:style>
  <w:style w:type="paragraph" w:customStyle="1" w:styleId="modal-footer1">
    <w:name w:val="modal-footer1"/>
    <w:basedOn w:val="Normal"/>
    <w:pPr>
      <w:spacing w:after="188"/>
      <w:jc w:val="right"/>
    </w:pPr>
    <w:rPr>
      <w:color w:val="FFFFFF"/>
    </w:rPr>
  </w:style>
  <w:style w:type="paragraph" w:customStyle="1" w:styleId="qtip-close1">
    <w:name w:val="qtip-close1"/>
    <w:basedOn w:val="Normal"/>
    <w:pPr>
      <w:spacing w:after="188"/>
    </w:pPr>
  </w:style>
  <w:style w:type="paragraph" w:customStyle="1" w:styleId="ui-icon1">
    <w:name w:val="ui-icon1"/>
    <w:basedOn w:val="Normal"/>
    <w:pPr>
      <w:spacing w:after="188" w:line="195" w:lineRule="atLeast"/>
      <w:jc w:val="center"/>
    </w:pPr>
    <w:rPr>
      <w:rFonts w:ascii="Tahoma" w:hAnsi="Tahoma" w:cs="Tahoma"/>
      <w:b/>
      <w:bCs/>
      <w:sz w:val="15"/>
      <w:szCs w:val="15"/>
    </w:rPr>
  </w:style>
  <w:style w:type="paragraph" w:customStyle="1" w:styleId="ui-icon2">
    <w:name w:val="ui-icon2"/>
    <w:basedOn w:val="Normal"/>
    <w:pPr>
      <w:spacing w:after="188"/>
      <w:ind w:firstLine="22144"/>
    </w:pPr>
  </w:style>
  <w:style w:type="paragraph" w:customStyle="1" w:styleId="qtip-titlebar1">
    <w:name w:val="qtip-titlebar1"/>
    <w:basedOn w:val="Normal"/>
    <w:pPr>
      <w:shd w:val="clear" w:color="auto" w:fill="FFEF93"/>
      <w:spacing w:after="188"/>
    </w:pPr>
    <w:rPr>
      <w:b/>
      <w:bCs/>
    </w:rPr>
  </w:style>
  <w:style w:type="paragraph" w:customStyle="1" w:styleId="qtip-icon1">
    <w:name w:val="qtip-icon1"/>
    <w:basedOn w:val="Normal"/>
    <w:pPr>
      <w:shd w:val="clear" w:color="auto" w:fill="F1F1F1"/>
      <w:spacing w:after="188"/>
    </w:pPr>
    <w:rPr>
      <w:color w:val="777777"/>
    </w:rPr>
  </w:style>
  <w:style w:type="paragraph" w:customStyle="1" w:styleId="qtip-close2">
    <w:name w:val="qtip-close2"/>
    <w:basedOn w:val="Normal"/>
    <w:pPr>
      <w:spacing w:after="188"/>
    </w:pPr>
    <w:rPr>
      <w:color w:val="111111"/>
    </w:rPr>
  </w:style>
  <w:style w:type="paragraph" w:customStyle="1" w:styleId="qtip-titlebar2">
    <w:name w:val="qtip-titlebar2"/>
    <w:basedOn w:val="Normal"/>
    <w:pPr>
      <w:shd w:val="clear" w:color="auto" w:fill="F1F1F1"/>
      <w:spacing w:after="188"/>
    </w:pPr>
    <w:rPr>
      <w:b/>
      <w:bCs/>
    </w:rPr>
  </w:style>
  <w:style w:type="paragraph" w:customStyle="1" w:styleId="qtip-titlebar3">
    <w:name w:val="qtip-titlebar3"/>
    <w:basedOn w:val="Normal"/>
    <w:pPr>
      <w:shd w:val="clear" w:color="auto" w:fill="404040"/>
      <w:spacing w:after="188"/>
    </w:pPr>
    <w:rPr>
      <w:b/>
      <w:bCs/>
    </w:rPr>
  </w:style>
  <w:style w:type="paragraph" w:customStyle="1" w:styleId="qtip-icon2">
    <w:name w:val="qtip-icon2"/>
    <w:basedOn w:val="Normal"/>
    <w:pPr>
      <w:spacing w:after="188"/>
    </w:pPr>
  </w:style>
  <w:style w:type="paragraph" w:customStyle="1" w:styleId="ui-state-hover1">
    <w:name w:val="ui-state-hover1"/>
    <w:basedOn w:val="Normal"/>
    <w:pPr>
      <w:spacing w:after="188"/>
    </w:pPr>
  </w:style>
  <w:style w:type="paragraph" w:customStyle="1" w:styleId="qtip-icon3">
    <w:name w:val="qtip-icon3"/>
    <w:basedOn w:val="Normal"/>
    <w:pPr>
      <w:spacing w:after="188"/>
    </w:pPr>
  </w:style>
  <w:style w:type="paragraph" w:customStyle="1" w:styleId="ui-state-hover2">
    <w:name w:val="ui-state-hover2"/>
    <w:basedOn w:val="Normal"/>
    <w:pPr>
      <w:spacing w:after="188"/>
    </w:pPr>
  </w:style>
  <w:style w:type="paragraph" w:customStyle="1" w:styleId="qtip-titlebar4">
    <w:name w:val="qtip-titlebar4"/>
    <w:basedOn w:val="Normal"/>
    <w:pPr>
      <w:shd w:val="clear" w:color="auto" w:fill="F0DE7D"/>
      <w:spacing w:after="188"/>
    </w:pPr>
    <w:rPr>
      <w:b/>
      <w:bCs/>
    </w:rPr>
  </w:style>
  <w:style w:type="paragraph" w:customStyle="1" w:styleId="qtip-titlebar5">
    <w:name w:val="qtip-titlebar5"/>
    <w:basedOn w:val="Normal"/>
    <w:pPr>
      <w:shd w:val="clear" w:color="auto" w:fill="F06D65"/>
      <w:spacing w:after="188"/>
    </w:pPr>
    <w:rPr>
      <w:b/>
      <w:bCs/>
    </w:rPr>
  </w:style>
  <w:style w:type="paragraph" w:customStyle="1" w:styleId="qtip-titlebar6">
    <w:name w:val="qtip-titlebar6"/>
    <w:basedOn w:val="Normal"/>
    <w:pPr>
      <w:shd w:val="clear" w:color="auto" w:fill="B0DE78"/>
      <w:spacing w:after="188"/>
    </w:pPr>
    <w:rPr>
      <w:b/>
      <w:bCs/>
    </w:rPr>
  </w:style>
  <w:style w:type="paragraph" w:customStyle="1" w:styleId="qtip-titlebar7">
    <w:name w:val="qtip-titlebar7"/>
    <w:basedOn w:val="Normal"/>
    <w:pPr>
      <w:shd w:val="clear" w:color="auto" w:fill="D0E9F5"/>
      <w:spacing w:after="188"/>
    </w:pPr>
    <w:rPr>
      <w:b/>
      <w:bCs/>
    </w:rPr>
  </w:style>
  <w:style w:type="paragraph" w:customStyle="1" w:styleId="qtip-titlebar8">
    <w:name w:val="qtip-titlebar8"/>
    <w:basedOn w:val="Normal"/>
    <w:pPr>
      <w:shd w:val="clear" w:color="auto" w:fill="4A4A4A"/>
      <w:spacing w:after="188"/>
    </w:pPr>
    <w:rPr>
      <w:b/>
      <w:bCs/>
    </w:rPr>
  </w:style>
  <w:style w:type="paragraph" w:customStyle="1" w:styleId="qtip-content1">
    <w:name w:val="qtip-content1"/>
    <w:basedOn w:val="Normal"/>
    <w:pPr>
      <w:spacing w:after="188"/>
    </w:pPr>
    <w:rPr>
      <w:rFonts w:ascii="Arial" w:hAnsi="Arial" w:cs="Arial"/>
      <w:sz w:val="18"/>
      <w:szCs w:val="18"/>
    </w:rPr>
  </w:style>
  <w:style w:type="paragraph" w:customStyle="1" w:styleId="qtip-icon4">
    <w:name w:val="qtip-icon4"/>
    <w:basedOn w:val="Normal"/>
    <w:pPr>
      <w:spacing w:after="188"/>
    </w:pPr>
  </w:style>
  <w:style w:type="paragraph" w:customStyle="1" w:styleId="ui-state-hover3">
    <w:name w:val="ui-state-hover3"/>
    <w:basedOn w:val="Normal"/>
    <w:pPr>
      <w:spacing w:after="188"/>
    </w:pPr>
  </w:style>
  <w:style w:type="paragraph" w:customStyle="1" w:styleId="qtip-titlebar9">
    <w:name w:val="qtip-titlebar9"/>
    <w:basedOn w:val="Normal"/>
    <w:pPr>
      <w:spacing w:after="188"/>
    </w:pPr>
    <w:rPr>
      <w:b/>
      <w:bCs/>
      <w:color w:val="FFFFFF"/>
    </w:rPr>
  </w:style>
  <w:style w:type="paragraph" w:customStyle="1" w:styleId="qtip-content2">
    <w:name w:val="qtip-content2"/>
    <w:basedOn w:val="Normal"/>
    <w:pPr>
      <w:spacing w:after="188"/>
    </w:pPr>
    <w:rPr>
      <w:color w:val="FFFFFF"/>
    </w:rPr>
  </w:style>
  <w:style w:type="paragraph" w:customStyle="1" w:styleId="qtip-icon5">
    <w:name w:val="qtip-icon5"/>
    <w:basedOn w:val="Normal"/>
    <w:pPr>
      <w:spacing w:after="188"/>
    </w:pPr>
  </w:style>
  <w:style w:type="paragraph" w:customStyle="1" w:styleId="ui-state-hover4">
    <w:name w:val="ui-state-hover4"/>
    <w:basedOn w:val="Normal"/>
    <w:pPr>
      <w:spacing w:after="188"/>
    </w:pPr>
  </w:style>
  <w:style w:type="paragraph" w:customStyle="1" w:styleId="qtip-titlebar10">
    <w:name w:val="qtip-titlebar10"/>
    <w:basedOn w:val="Normal"/>
    <w:pPr>
      <w:shd w:val="clear" w:color="auto" w:fill="87876A"/>
      <w:spacing w:after="188"/>
    </w:pPr>
    <w:rPr>
      <w:b/>
      <w:bCs/>
      <w:color w:val="FFFFFF"/>
    </w:rPr>
  </w:style>
  <w:style w:type="paragraph" w:customStyle="1" w:styleId="qtip-icon6">
    <w:name w:val="qtip-icon6"/>
    <w:basedOn w:val="Normal"/>
    <w:pPr>
      <w:spacing w:after="188"/>
    </w:pPr>
  </w:style>
  <w:style w:type="paragraph" w:customStyle="1" w:styleId="ui-state-hover5">
    <w:name w:val="ui-state-hover5"/>
    <w:basedOn w:val="Normal"/>
    <w:pPr>
      <w:spacing w:after="188"/>
    </w:pPr>
    <w:rPr>
      <w:color w:val="696952"/>
    </w:rPr>
  </w:style>
  <w:style w:type="paragraph" w:customStyle="1" w:styleId="qtip-titlebar11">
    <w:name w:val="qtip-titlebar11"/>
    <w:basedOn w:val="Normal"/>
    <w:pPr>
      <w:spacing w:after="188"/>
    </w:pPr>
    <w:rPr>
      <w:b/>
      <w:bCs/>
    </w:rPr>
  </w:style>
  <w:style w:type="paragraph" w:customStyle="1" w:styleId="qtip-content3">
    <w:name w:val="qtip-content3"/>
    <w:basedOn w:val="Normal"/>
    <w:pPr>
      <w:spacing w:after="188"/>
    </w:pPr>
  </w:style>
  <w:style w:type="paragraph" w:customStyle="1" w:styleId="qtip-icon7">
    <w:name w:val="qtip-icon7"/>
    <w:basedOn w:val="Normal"/>
    <w:pPr>
      <w:spacing w:after="188"/>
    </w:pPr>
  </w:style>
  <w:style w:type="paragraph" w:customStyle="1" w:styleId="ui-state-hover6">
    <w:name w:val="ui-state-hover6"/>
    <w:basedOn w:val="Normal"/>
    <w:pPr>
      <w:spacing w:after="188"/>
    </w:pPr>
  </w:style>
  <w:style w:type="paragraph" w:customStyle="1" w:styleId="qtip-titlebar12">
    <w:name w:val="qtip-titlebar12"/>
    <w:basedOn w:val="Normal"/>
    <w:pPr>
      <w:shd w:val="clear" w:color="auto" w:fill="3A79B8"/>
      <w:spacing w:after="188"/>
    </w:pPr>
    <w:rPr>
      <w:b/>
      <w:bCs/>
      <w:color w:val="FFFFFF"/>
    </w:rPr>
  </w:style>
  <w:style w:type="paragraph" w:customStyle="1" w:styleId="qtip-icon8">
    <w:name w:val="qtip-icon8"/>
    <w:basedOn w:val="Normal"/>
    <w:pPr>
      <w:pBdr>
        <w:top w:val="single" w:sz="12" w:space="0" w:color="285589"/>
        <w:left w:val="single" w:sz="12" w:space="0" w:color="285589"/>
        <w:bottom w:val="single" w:sz="12" w:space="0" w:color="285589"/>
        <w:right w:val="single" w:sz="12" w:space="0" w:color="285589"/>
      </w:pBdr>
      <w:shd w:val="clear" w:color="auto" w:fill="285589"/>
      <w:spacing w:after="188"/>
    </w:pPr>
  </w:style>
  <w:style w:type="paragraph" w:customStyle="1" w:styleId="ui-icon3">
    <w:name w:val="ui-icon3"/>
    <w:basedOn w:val="Normal"/>
    <w:pPr>
      <w:shd w:val="clear" w:color="auto" w:fill="FBFBFB"/>
      <w:spacing w:after="188" w:line="195" w:lineRule="atLeast"/>
      <w:jc w:val="center"/>
    </w:pPr>
    <w:rPr>
      <w:rFonts w:ascii="Tahoma" w:hAnsi="Tahoma" w:cs="Tahoma"/>
      <w:b/>
      <w:bCs/>
      <w:color w:val="555555"/>
      <w:sz w:val="15"/>
      <w:szCs w:val="15"/>
    </w:rPr>
  </w:style>
  <w:style w:type="paragraph" w:customStyle="1" w:styleId="qtip-titlebar13">
    <w:name w:val="qtip-titlebar13"/>
    <w:basedOn w:val="Normal"/>
    <w:pPr>
      <w:pBdr>
        <w:bottom w:val="single" w:sz="6" w:space="6" w:color="EBEBEB"/>
      </w:pBdr>
      <w:shd w:val="clear" w:color="auto" w:fill="F7F7F7"/>
      <w:spacing w:line="270" w:lineRule="atLeast"/>
    </w:pPr>
    <w:rPr>
      <w:sz w:val="21"/>
      <w:szCs w:val="21"/>
    </w:rPr>
  </w:style>
  <w:style w:type="paragraph" w:customStyle="1" w:styleId="qtip-close3">
    <w:name w:val="qtip-close3"/>
    <w:basedOn w:val="Normal"/>
    <w:pPr>
      <w:spacing w:after="188"/>
    </w:pPr>
  </w:style>
  <w:style w:type="paragraph" w:customStyle="1" w:styleId="qtip-content4">
    <w:name w:val="qtip-content4"/>
    <w:basedOn w:val="Normal"/>
    <w:pPr>
      <w:spacing w:after="188"/>
    </w:pPr>
  </w:style>
  <w:style w:type="paragraph" w:customStyle="1" w:styleId="ui-icon4">
    <w:name w:val="ui-icon4"/>
    <w:basedOn w:val="Normal"/>
    <w:pPr>
      <w:spacing w:after="188" w:line="270" w:lineRule="atLeast"/>
      <w:jc w:val="center"/>
    </w:pPr>
    <w:rPr>
      <w:rFonts w:ascii="Tahoma" w:hAnsi="Tahoma" w:cs="Tahoma"/>
      <w:b/>
      <w:bCs/>
      <w:color w:val="000000"/>
      <w:sz w:val="30"/>
      <w:szCs w:val="30"/>
    </w:rPr>
  </w:style>
  <w:style w:type="paragraph" w:customStyle="1" w:styleId="ui-icon5">
    <w:name w:val="ui-icon5"/>
    <w:basedOn w:val="Normal"/>
    <w:pPr>
      <w:spacing w:after="188" w:line="270" w:lineRule="atLeast"/>
      <w:jc w:val="center"/>
    </w:pPr>
    <w:rPr>
      <w:rFonts w:ascii="Tahoma" w:hAnsi="Tahoma" w:cs="Tahoma"/>
      <w:b/>
      <w:bCs/>
      <w:color w:val="000000"/>
      <w:sz w:val="30"/>
      <w:szCs w:val="30"/>
    </w:rPr>
  </w:style>
  <w:style w:type="paragraph" w:customStyle="1" w:styleId="qtip-tip1">
    <w:name w:val="qtip-tip1"/>
    <w:basedOn w:val="Normal"/>
  </w:style>
  <w:style w:type="paragraph" w:customStyle="1" w:styleId="simcal-nav1">
    <w:name w:val="simcal-nav1"/>
    <w:basedOn w:val="Normal"/>
    <w:pPr>
      <w:spacing w:after="188"/>
      <w:textAlignment w:val="center"/>
    </w:pPr>
  </w:style>
  <w:style w:type="paragraph" w:customStyle="1" w:styleId="simcal-nav-button1">
    <w:name w:val="simcal-nav-button1"/>
    <w:basedOn w:val="Normal"/>
  </w:style>
  <w:style w:type="paragraph" w:customStyle="1" w:styleId="simcal-events1">
    <w:name w:val="simcal-events1"/>
    <w:basedOn w:val="Normal"/>
    <w:pPr>
      <w:spacing w:after="188"/>
    </w:pPr>
  </w:style>
  <w:style w:type="paragraph" w:customStyle="1" w:styleId="simcal-events-toggle1">
    <w:name w:val="simcal-events-toggle1"/>
    <w:basedOn w:val="Normal"/>
    <w:pPr>
      <w:spacing w:after="188"/>
      <w:jc w:val="center"/>
    </w:pPr>
  </w:style>
  <w:style w:type="paragraph" w:customStyle="1" w:styleId="simcal-attachment1">
    <w:name w:val="simcal-attachment1"/>
    <w:basedOn w:val="Normal"/>
    <w:pPr>
      <w:spacing w:before="100" w:beforeAutospacing="1" w:after="60"/>
    </w:pPr>
  </w:style>
  <w:style w:type="paragraph" w:customStyle="1" w:styleId="simcal-attendee1">
    <w:name w:val="simcal-attendee1"/>
    <w:basedOn w:val="Normal"/>
    <w:pPr>
      <w:spacing w:before="100" w:beforeAutospacing="1" w:after="60"/>
    </w:pPr>
  </w:style>
  <w:style w:type="paragraph" w:customStyle="1" w:styleId="simcal-tooltip-content1">
    <w:name w:val="simcal-tooltip-content1"/>
    <w:basedOn w:val="Normal"/>
    <w:pPr>
      <w:spacing w:after="188"/>
    </w:pPr>
    <w:rPr>
      <w:sz w:val="29"/>
      <w:szCs w:val="29"/>
    </w:rPr>
  </w:style>
  <w:style w:type="paragraph" w:customStyle="1" w:styleId="simcal-ajax-loader1">
    <w:name w:val="simcal-ajax-loader1"/>
    <w:basedOn w:val="Normal"/>
    <w:pPr>
      <w:spacing w:after="188"/>
    </w:pPr>
  </w:style>
  <w:style w:type="paragraph" w:customStyle="1" w:styleId="simcal-ajax-loaderi1">
    <w:name w:val="simcal-ajax-loader&gt;i1"/>
    <w:basedOn w:val="Normal"/>
    <w:pPr>
      <w:ind w:left="-540"/>
    </w:pPr>
    <w:rPr>
      <w:sz w:val="72"/>
      <w:szCs w:val="72"/>
    </w:rPr>
  </w:style>
  <w:style w:type="paragraph" w:customStyle="1" w:styleId="simcal-events-toggle2">
    <w:name w:val="simcal-events-toggle2"/>
    <w:basedOn w:val="Normal"/>
    <w:pPr>
      <w:spacing w:after="188"/>
    </w:pPr>
    <w:rPr>
      <w:color w:val="FFFFFF"/>
    </w:rPr>
  </w:style>
  <w:style w:type="paragraph" w:customStyle="1" w:styleId="simcal-events-toggle3">
    <w:name w:val="simcal-events-toggle3"/>
    <w:basedOn w:val="Normal"/>
    <w:pPr>
      <w:spacing w:after="188"/>
    </w:pPr>
    <w:rPr>
      <w:color w:val="000000"/>
    </w:rPr>
  </w:style>
  <w:style w:type="paragraph" w:customStyle="1" w:styleId="simcal-nav2">
    <w:name w:val="simcal-nav2"/>
    <w:basedOn w:val="Normal"/>
    <w:pPr>
      <w:spacing w:after="188"/>
      <w:textAlignment w:val="center"/>
    </w:pPr>
  </w:style>
  <w:style w:type="paragraph" w:customStyle="1" w:styleId="simcal-daydiv1">
    <w:name w:val="simcal-day&gt;div1"/>
    <w:basedOn w:val="Normal"/>
    <w:pPr>
      <w:spacing w:after="188"/>
    </w:pPr>
  </w:style>
  <w:style w:type="paragraph" w:customStyle="1" w:styleId="simcal-day-void1">
    <w:name w:val="simcal-day-void1"/>
    <w:basedOn w:val="Normal"/>
    <w:pPr>
      <w:spacing w:after="188"/>
    </w:pPr>
  </w:style>
  <w:style w:type="paragraph" w:customStyle="1" w:styleId="simcal-day-number1">
    <w:name w:val="simcal-day-number1"/>
    <w:basedOn w:val="Normal"/>
    <w:pPr>
      <w:spacing w:after="188"/>
      <w:textAlignment w:val="center"/>
    </w:pPr>
  </w:style>
  <w:style w:type="paragraph" w:customStyle="1" w:styleId="simcal-no-events1">
    <w:name w:val="simcal-no-events1"/>
    <w:basedOn w:val="Normal"/>
    <w:pPr>
      <w:spacing w:after="188"/>
    </w:pPr>
  </w:style>
  <w:style w:type="paragraph" w:customStyle="1" w:styleId="simcal-events2">
    <w:name w:val="simcal-events2"/>
    <w:basedOn w:val="Normal"/>
    <w:rPr>
      <w:sz w:val="16"/>
      <w:szCs w:val="16"/>
    </w:rPr>
  </w:style>
  <w:style w:type="paragraph" w:customStyle="1" w:styleId="simcal-events-dots1">
    <w:name w:val="simcal-events-dots1"/>
    <w:basedOn w:val="Normal"/>
    <w:pPr>
      <w:spacing w:before="45" w:after="45" w:line="0" w:lineRule="auto"/>
      <w:jc w:val="center"/>
    </w:pPr>
  </w:style>
  <w:style w:type="paragraph" w:customStyle="1" w:styleId="simcal-events-toggle4">
    <w:name w:val="simcal-events-toggle4"/>
    <w:basedOn w:val="Normal"/>
    <w:pPr>
      <w:spacing w:after="188"/>
    </w:pPr>
    <w:rPr>
      <w:sz w:val="15"/>
      <w:szCs w:val="15"/>
    </w:rPr>
  </w:style>
  <w:style w:type="paragraph" w:customStyle="1" w:styleId="simcal-event-description1">
    <w:name w:val="simcal-event-description1"/>
    <w:basedOn w:val="Normal"/>
    <w:pPr>
      <w:spacing w:after="240"/>
    </w:pPr>
  </w:style>
  <w:style w:type="paragraph" w:customStyle="1" w:styleId="simcal-calendar-head1">
    <w:name w:val="simcal-calendar-head1"/>
    <w:basedOn w:val="Normal"/>
    <w:pPr>
      <w:spacing w:after="188"/>
    </w:pPr>
  </w:style>
  <w:style w:type="paragraph" w:customStyle="1" w:styleId="simcal-nav3">
    <w:name w:val="simcal-nav3"/>
    <w:basedOn w:val="Normal"/>
    <w:pPr>
      <w:spacing w:after="188"/>
      <w:jc w:val="center"/>
      <w:textAlignment w:val="center"/>
    </w:pPr>
  </w:style>
  <w:style w:type="paragraph" w:customStyle="1" w:styleId="simcal-event1">
    <w:name w:val="simcal-event1"/>
    <w:basedOn w:val="Normal"/>
    <w:pPr>
      <w:spacing w:before="100" w:beforeAutospacing="1" w:after="150"/>
    </w:pPr>
  </w:style>
  <w:style w:type="paragraph" w:customStyle="1" w:styleId="simcal-event-details1">
    <w:name w:val="simcal-event-details1"/>
    <w:basedOn w:val="Normal"/>
    <w:pPr>
      <w:spacing w:after="188"/>
    </w:pPr>
    <w:rPr>
      <w:sz w:val="20"/>
      <w:szCs w:val="20"/>
    </w:rPr>
  </w:style>
  <w:style w:type="paragraph" w:customStyle="1" w:styleId="simcal-event-description2">
    <w:name w:val="simcal-event-description2"/>
    <w:basedOn w:val="Normal"/>
    <w:pPr>
      <w:spacing w:after="240"/>
    </w:pPr>
  </w:style>
  <w:style w:type="paragraph" w:customStyle="1" w:styleId="simcal-events-toggle5">
    <w:name w:val="simcal-events-toggle5"/>
    <w:basedOn w:val="Normal"/>
    <w:pPr>
      <w:spacing w:after="188"/>
    </w:pPr>
  </w:style>
  <w:style w:type="character" w:customStyle="1" w:styleId="sr-only1">
    <w:name w:val="sr-only1"/>
    <w:basedOn w:val="DefaultParagraphFont"/>
    <w:rPr>
      <w:bdr w:val="none" w:sz="0" w:space="0" w:color="auto" w:frame="1"/>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character" w:styleId="Strong">
    <w:name w:val="Strong"/>
    <w:basedOn w:val="DefaultParagraphFont"/>
    <w:uiPriority w:val="22"/>
    <w:qFormat/>
    <w:rPr>
      <w:b/>
      <w:bCs/>
    </w:rPr>
  </w:style>
  <w:style w:type="character" w:styleId="UnresolvedMention">
    <w:name w:val="Unresolved Mention"/>
    <w:basedOn w:val="DefaultParagraphFont"/>
    <w:uiPriority w:val="99"/>
    <w:semiHidden/>
    <w:unhideWhenUsed/>
    <w:rsid w:val="00265406"/>
    <w:rPr>
      <w:color w:val="605E5C"/>
      <w:shd w:val="clear" w:color="auto" w:fill="E1DFDD"/>
    </w:rPr>
  </w:style>
  <w:style w:type="paragraph" w:styleId="Header">
    <w:name w:val="header"/>
    <w:basedOn w:val="Normal"/>
    <w:link w:val="HeaderChar"/>
    <w:uiPriority w:val="99"/>
    <w:unhideWhenUsed/>
    <w:rsid w:val="003A35EB"/>
    <w:pPr>
      <w:tabs>
        <w:tab w:val="center" w:pos="4680"/>
        <w:tab w:val="right" w:pos="9360"/>
      </w:tabs>
    </w:pPr>
  </w:style>
  <w:style w:type="character" w:customStyle="1" w:styleId="HeaderChar">
    <w:name w:val="Header Char"/>
    <w:basedOn w:val="DefaultParagraphFont"/>
    <w:link w:val="Header"/>
    <w:uiPriority w:val="99"/>
    <w:rsid w:val="003A35EB"/>
    <w:rPr>
      <w:rFonts w:eastAsiaTheme="minorEastAsia"/>
      <w:sz w:val="24"/>
      <w:szCs w:val="24"/>
    </w:rPr>
  </w:style>
  <w:style w:type="paragraph" w:styleId="Footer">
    <w:name w:val="footer"/>
    <w:basedOn w:val="Normal"/>
    <w:link w:val="FooterChar"/>
    <w:uiPriority w:val="99"/>
    <w:unhideWhenUsed/>
    <w:rsid w:val="003A35EB"/>
    <w:pPr>
      <w:tabs>
        <w:tab w:val="center" w:pos="4680"/>
        <w:tab w:val="right" w:pos="9360"/>
      </w:tabs>
    </w:pPr>
  </w:style>
  <w:style w:type="character" w:customStyle="1" w:styleId="FooterChar">
    <w:name w:val="Footer Char"/>
    <w:basedOn w:val="DefaultParagraphFont"/>
    <w:link w:val="Footer"/>
    <w:uiPriority w:val="99"/>
    <w:rsid w:val="003A35E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37479">
      <w:marLeft w:val="0"/>
      <w:marRight w:val="0"/>
      <w:marTop w:val="0"/>
      <w:marBottom w:val="0"/>
      <w:divBdr>
        <w:top w:val="none" w:sz="0" w:space="0" w:color="auto"/>
        <w:left w:val="none" w:sz="0" w:space="0" w:color="auto"/>
        <w:bottom w:val="none" w:sz="0" w:space="0" w:color="auto"/>
        <w:right w:val="none" w:sz="0" w:space="0" w:color="auto"/>
      </w:divBdr>
      <w:divsChild>
        <w:div w:id="937755472">
          <w:marLeft w:val="0"/>
          <w:marRight w:val="0"/>
          <w:marTop w:val="0"/>
          <w:marBottom w:val="0"/>
          <w:divBdr>
            <w:top w:val="none" w:sz="0" w:space="0" w:color="auto"/>
            <w:left w:val="none" w:sz="0" w:space="0" w:color="auto"/>
            <w:bottom w:val="none" w:sz="0" w:space="0" w:color="auto"/>
            <w:right w:val="none" w:sz="0" w:space="0" w:color="auto"/>
          </w:divBdr>
          <w:divsChild>
            <w:div w:id="568078357">
              <w:marLeft w:val="1"/>
              <w:marRight w:val="1"/>
              <w:marTop w:val="0"/>
              <w:marBottom w:val="0"/>
              <w:divBdr>
                <w:top w:val="none" w:sz="0" w:space="0" w:color="auto"/>
                <w:left w:val="none" w:sz="0" w:space="0" w:color="auto"/>
                <w:bottom w:val="none" w:sz="0" w:space="0" w:color="auto"/>
                <w:right w:val="none" w:sz="0" w:space="0" w:color="auto"/>
              </w:divBdr>
              <w:divsChild>
                <w:div w:id="1238512948">
                  <w:marLeft w:val="0"/>
                  <w:marRight w:val="0"/>
                  <w:marTop w:val="0"/>
                  <w:marBottom w:val="0"/>
                  <w:divBdr>
                    <w:top w:val="none" w:sz="0" w:space="0" w:color="auto"/>
                    <w:left w:val="none" w:sz="0" w:space="0" w:color="auto"/>
                    <w:bottom w:val="none" w:sz="0" w:space="0" w:color="auto"/>
                    <w:right w:val="none" w:sz="0" w:space="0" w:color="auto"/>
                  </w:divBdr>
                  <w:divsChild>
                    <w:div w:id="953366407">
                      <w:marLeft w:val="0"/>
                      <w:marRight w:val="0"/>
                      <w:marTop w:val="0"/>
                      <w:marBottom w:val="0"/>
                      <w:divBdr>
                        <w:top w:val="none" w:sz="0" w:space="0" w:color="auto"/>
                        <w:left w:val="none" w:sz="0" w:space="0" w:color="auto"/>
                        <w:bottom w:val="none" w:sz="0" w:space="0" w:color="auto"/>
                        <w:right w:val="none" w:sz="0" w:space="0" w:color="auto"/>
                      </w:divBdr>
                      <w:divsChild>
                        <w:div w:id="2023120440">
                          <w:marLeft w:val="0"/>
                          <w:marRight w:val="0"/>
                          <w:marTop w:val="0"/>
                          <w:marBottom w:val="0"/>
                          <w:divBdr>
                            <w:top w:val="none" w:sz="0" w:space="0" w:color="auto"/>
                            <w:left w:val="none" w:sz="0" w:space="0" w:color="auto"/>
                            <w:bottom w:val="none" w:sz="0" w:space="0" w:color="auto"/>
                            <w:right w:val="none" w:sz="0" w:space="0" w:color="auto"/>
                          </w:divBdr>
                          <w:divsChild>
                            <w:div w:id="431514994">
                              <w:marLeft w:val="0"/>
                              <w:marRight w:val="0"/>
                              <w:marTop w:val="0"/>
                              <w:marBottom w:val="0"/>
                              <w:divBdr>
                                <w:top w:val="none" w:sz="0" w:space="0" w:color="auto"/>
                                <w:left w:val="none" w:sz="0" w:space="0" w:color="auto"/>
                                <w:bottom w:val="none" w:sz="0" w:space="0" w:color="auto"/>
                                <w:right w:val="none" w:sz="0" w:space="0" w:color="auto"/>
                              </w:divBdr>
                              <w:divsChild>
                                <w:div w:id="17226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752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35311968">
              <w:marLeft w:val="0"/>
              <w:marRight w:val="0"/>
              <w:marTop w:val="0"/>
              <w:marBottom w:val="0"/>
              <w:divBdr>
                <w:top w:val="none" w:sz="0" w:space="0" w:color="auto"/>
                <w:left w:val="none" w:sz="0" w:space="0" w:color="auto"/>
                <w:bottom w:val="none" w:sz="0" w:space="0" w:color="auto"/>
                <w:right w:val="none" w:sz="0" w:space="0" w:color="auto"/>
              </w:divBdr>
              <w:divsChild>
                <w:div w:id="47791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pa-prgs.ornl.gov/radionuclides/" TargetMode="External"/><Relationship Id="rId18" Type="http://schemas.openxmlformats.org/officeDocument/2006/relationships/hyperlink" Target="http://rais.ornl.gov/" TargetMode="External"/><Relationship Id="rId26" Type="http://schemas.openxmlformats.org/officeDocument/2006/relationships/hyperlink" Target="https://derac.ornl.gov/guide.html" TargetMode="External"/><Relationship Id="rId39" Type="http://schemas.openxmlformats.org/officeDocument/2006/relationships/hyperlink" Target="https://epa-prgs.ornl.gov/radionuclides/2021_Biota_TM_update_DRAFT_for_RADPRG_ug.pdf" TargetMode="External"/><Relationship Id="rId21" Type="http://schemas.openxmlformats.org/officeDocument/2006/relationships/hyperlink" Target="https://rais.ornl.gov/" TargetMode="External"/><Relationship Id="rId34" Type="http://schemas.openxmlformats.org/officeDocument/2006/relationships/hyperlink" Target="https://prg-test.ornl.gov/radionuclides/GSF_FINAL.pdf" TargetMode="External"/><Relationship Id="rId42" Type="http://schemas.openxmlformats.org/officeDocument/2006/relationships/hyperlink" Target="https://www.epa.gov/risk/regional-removal-management-levels-chemicals-rmls" TargetMode="External"/><Relationship Id="rId47" Type="http://schemas.openxmlformats.org/officeDocument/2006/relationships/hyperlink" Target="http://epa-sprg.ornl.gov/" TargetMode="External"/><Relationship Id="rId50" Type="http://schemas.openxmlformats.org/officeDocument/2006/relationships/hyperlink" Target="http://epa-prgs.ornl.gov/radionuclides/chain/chain.php" TargetMode="External"/><Relationship Id="rId55" Type="http://schemas.openxmlformats.org/officeDocument/2006/relationships/footer" Target="footer1.xml"/><Relationship Id="rId7" Type="http://schemas.openxmlformats.org/officeDocument/2006/relationships/hyperlink" Target="mailto:fdolislager@gmail.com%20" TargetMode="External"/><Relationship Id="rId12" Type="http://schemas.openxmlformats.org/officeDocument/2006/relationships/hyperlink" Target="https://www.epa.gov/risk/regional-removal-management-levels-chemicals-rmls" TargetMode="External"/><Relationship Id="rId17" Type="http://schemas.openxmlformats.org/officeDocument/2006/relationships/hyperlink" Target="https://csites.ornl.gov/" TargetMode="External"/><Relationship Id="rId25" Type="http://schemas.openxmlformats.org/officeDocument/2006/relationships/hyperlink" Target="https://dec.alaska.gov/spar/csp/calculators/" TargetMode="External"/><Relationship Id="rId33" Type="http://schemas.openxmlformats.org/officeDocument/2006/relationships/hyperlink" Target="http://epa-prgs.ornl.gov/radionuclides/ACF_FINAL.pdf" TargetMode="External"/><Relationship Id="rId38" Type="http://schemas.openxmlformats.org/officeDocument/2006/relationships/hyperlink" Target="https://prg-test.ornl.gov/radionuclides/FINALPEAKTM.pdf" TargetMode="External"/><Relationship Id="rId46" Type="http://schemas.openxmlformats.org/officeDocument/2006/relationships/hyperlink" Target="http://epa-bprg.ornl.gov/" TargetMode="External"/><Relationship Id="rId2" Type="http://schemas.openxmlformats.org/officeDocument/2006/relationships/styles" Target="styles.xml"/><Relationship Id="rId16" Type="http://schemas.openxmlformats.org/officeDocument/2006/relationships/hyperlink" Target="https://derac.ornl.gov/guide.html" TargetMode="External"/><Relationship Id="rId20" Type="http://schemas.openxmlformats.org/officeDocument/2006/relationships/hyperlink" Target="http://www.epa.gov/superfund/" TargetMode="External"/><Relationship Id="rId29" Type="http://schemas.openxmlformats.org/officeDocument/2006/relationships/hyperlink" Target="https://www.energy.gov/pppo/paducah-site" TargetMode="External"/><Relationship Id="rId41" Type="http://schemas.openxmlformats.org/officeDocument/2006/relationships/hyperlink" Target="http://epa-prgs.ornl.gov/cgi-bin/chemicals/csl_search" TargetMode="External"/><Relationship Id="rId54" Type="http://schemas.openxmlformats.org/officeDocument/2006/relationships/hyperlink" Target="https://derac.ornl.gov/guid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a-visl.ornl.gov/cgi-bin/visl_search" TargetMode="External"/><Relationship Id="rId24" Type="http://schemas.openxmlformats.org/officeDocument/2006/relationships/hyperlink" Target="https://phc.amedd.army.mil/Pages/default.aspx" TargetMode="External"/><Relationship Id="rId32" Type="http://schemas.openxmlformats.org/officeDocument/2006/relationships/hyperlink" Target="http://www.tandfonline.com/doi/abs/10.1080/10807039.2010.534722" TargetMode="External"/><Relationship Id="rId37" Type="http://schemas.openxmlformats.org/officeDocument/2006/relationships/hyperlink" Target="https://epa-prgs.ornl.gov/radionuclides/RVISL_ORNLTM_R1.pdf" TargetMode="External"/><Relationship Id="rId40" Type="http://schemas.openxmlformats.org/officeDocument/2006/relationships/hyperlink" Target="https://rais.ornl.gov/" TargetMode="External"/><Relationship Id="rId45" Type="http://schemas.openxmlformats.org/officeDocument/2006/relationships/hyperlink" Target="http://epa-dccs.ornl.gov/radionuclides/" TargetMode="External"/><Relationship Id="rId53" Type="http://schemas.openxmlformats.org/officeDocument/2006/relationships/hyperlink" Target="https://epa-visl.ornl.gov/radionuclides/" TargetMode="External"/><Relationship Id="rId5" Type="http://schemas.openxmlformats.org/officeDocument/2006/relationships/footnotes" Target="footnotes.xml"/><Relationship Id="rId15" Type="http://schemas.openxmlformats.org/officeDocument/2006/relationships/hyperlink" Target="https://epa-visl.ornl.gov/radionuclides/" TargetMode="External"/><Relationship Id="rId23" Type="http://schemas.openxmlformats.org/officeDocument/2006/relationships/hyperlink" Target="http://www.sadaproject.net/" TargetMode="External"/><Relationship Id="rId28" Type="http://schemas.openxmlformats.org/officeDocument/2006/relationships/hyperlink" Target="https://www.energy.gov/pppo/portsmouth-site" TargetMode="External"/><Relationship Id="rId36" Type="http://schemas.openxmlformats.org/officeDocument/2006/relationships/hyperlink" Target="https://epa-prgs.ornl.gov/radionuclides/20161130_Biota_TM_KLM_Final_printable_version.pdf" TargetMode="External"/><Relationship Id="rId49" Type="http://schemas.openxmlformats.org/officeDocument/2006/relationships/hyperlink" Target="http://epa-sdcc.ornl.gov/" TargetMode="External"/><Relationship Id="rId57" Type="http://schemas.openxmlformats.org/officeDocument/2006/relationships/theme" Target="theme/theme1.xml"/><Relationship Id="rId10" Type="http://schemas.openxmlformats.org/officeDocument/2006/relationships/hyperlink" Target="http://epa-prgs.ornl.gov/cgi-bin/chemicals/csl_search" TargetMode="External"/><Relationship Id="rId19" Type="http://schemas.openxmlformats.org/officeDocument/2006/relationships/hyperlink" Target="https://eeb.utk.edu/people/fred-dolislager/" TargetMode="External"/><Relationship Id="rId31" Type="http://schemas.openxmlformats.org/officeDocument/2006/relationships/hyperlink" Target="http://www.tandfonline.com/doi/abs/10.1080/10807039.2010.534721" TargetMode="External"/><Relationship Id="rId44" Type="http://schemas.openxmlformats.org/officeDocument/2006/relationships/hyperlink" Target="http://epa-prgs.ornl.gov/radionuclides/" TargetMode="External"/><Relationship Id="rId52" Type="http://schemas.openxmlformats.org/officeDocument/2006/relationships/hyperlink" Target="https://csites.ornl.gov/cgi-bin/risk_search" TargetMode="External"/><Relationship Id="rId4" Type="http://schemas.openxmlformats.org/officeDocument/2006/relationships/webSettings" Target="webSettings.xml"/><Relationship Id="rId9" Type="http://schemas.openxmlformats.org/officeDocument/2006/relationships/hyperlink" Target="http://www.utk.edu/" TargetMode="External"/><Relationship Id="rId14" Type="http://schemas.openxmlformats.org/officeDocument/2006/relationships/hyperlink" Target="https://epa-dccs.ornl.gov/" TargetMode="External"/><Relationship Id="rId22" Type="http://schemas.openxmlformats.org/officeDocument/2006/relationships/hyperlink" Target="http://www.ucor.com/" TargetMode="External"/><Relationship Id="rId27" Type="http://schemas.openxmlformats.org/officeDocument/2006/relationships/hyperlink" Target="https://www.energy.gov/pppo/portsmouth-site" TargetMode="External"/><Relationship Id="rId30" Type="http://schemas.openxmlformats.org/officeDocument/2006/relationships/hyperlink" Target="http://www.tandfonline.com/doi/abs/10.1080/10807039.2010.534722" TargetMode="External"/><Relationship Id="rId35" Type="http://schemas.openxmlformats.org/officeDocument/2006/relationships/hyperlink" Target="https://prg-test.ornl.gov/radionuclides/SlopesandDosesFinal.pdf" TargetMode="External"/><Relationship Id="rId43" Type="http://schemas.openxmlformats.org/officeDocument/2006/relationships/hyperlink" Target="https://epa-visl.ornl.gov/cgi-bin/visl_search" TargetMode="External"/><Relationship Id="rId48" Type="http://schemas.openxmlformats.org/officeDocument/2006/relationships/hyperlink" Target="http://epa-bdcc.ornl.gov/" TargetMode="External"/><Relationship Id="rId56" Type="http://schemas.openxmlformats.org/officeDocument/2006/relationships/fontTable" Target="fontTable.xml"/><Relationship Id="rId8" Type="http://schemas.openxmlformats.org/officeDocument/2006/relationships/hyperlink" Target="http://www.bryan.edu/" TargetMode="External"/><Relationship Id="rId51" Type="http://schemas.openxmlformats.org/officeDocument/2006/relationships/hyperlink" Target="http://dec.alaska.gov/spar/csp/calculator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10</Pages>
  <Words>2932</Words>
  <Characters>21862</Characters>
  <Application>Microsoft Office Word</Application>
  <DocSecurity>0</DocSecurity>
  <Lines>182</Lines>
  <Paragraphs>49</Paragraphs>
  <ScaleCrop>false</ScaleCrop>
  <HeadingPairs>
    <vt:vector size="2" baseType="variant">
      <vt:variant>
        <vt:lpstr>Title</vt:lpstr>
      </vt:variant>
      <vt:variant>
        <vt:i4>1</vt:i4>
      </vt:variant>
    </vt:vector>
  </HeadingPairs>
  <TitlesOfParts>
    <vt:vector size="1" baseType="lpstr">
      <vt:lpstr>Ecology &amp; Evolutionary Biology |</vt:lpstr>
    </vt:vector>
  </TitlesOfParts>
  <Company/>
  <LinksUpToDate>false</LinksUpToDate>
  <CharactersWithSpaces>24745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Ecology &amp; Evolutionary Biology |</dc:title>
  <dc:subject/>
  <dc:creator>Dolislager, Fredrick G.</dc:creator>
  <cp:keywords/>
  <dc:description/>
  <cp:lastModifiedBy>Dolislager, Fredrick</cp:lastModifiedBy>
  <cp:revision>178</cp:revision>
  <dcterms:created xsi:type="dcterms:W3CDTF">2021-10-06T12:27:00Z</dcterms:created>
  <dcterms:modified xsi:type="dcterms:W3CDTF">2022-04-29T11:54:00Z</dcterms:modified>
</cp:coreProperties>
</file>