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2D4F" w14:textId="77777777" w:rsidR="00165020" w:rsidRPr="006F3567" w:rsidRDefault="00165020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  <w:u w:val="single"/>
        </w:rPr>
        <w:t>Education</w:t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  <w:t>S. Michelle Everett</w:t>
      </w:r>
    </w:p>
    <w:p w14:paraId="2C38D34B" w14:textId="77777777" w:rsidR="00165020" w:rsidRPr="006F3567" w:rsidRDefault="00165020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  <w:b/>
          <w:bCs/>
        </w:rPr>
        <w:t>University of Tennessee</w:t>
      </w:r>
      <w:r w:rsidRPr="006F3567">
        <w:rPr>
          <w:rFonts w:ascii="Times" w:hAnsi="Times" w:cstheme="minorHAnsi"/>
        </w:rPr>
        <w:t>, Knoxville, TN.</w:t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  <w:t>426 Haywood Ave.</w:t>
      </w:r>
    </w:p>
    <w:p w14:paraId="1B0EA270" w14:textId="77777777" w:rsidR="00165020" w:rsidRPr="006F3567" w:rsidRDefault="00165020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PhD, Materials Science and Engineering 2013</w:t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  <w:t>Knoxville, TN 37920</w:t>
      </w:r>
    </w:p>
    <w:p w14:paraId="1B7A7363" w14:textId="3A531A66" w:rsidR="00165020" w:rsidRPr="006F3567" w:rsidRDefault="00165020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MS, Materials Science and Engineering 2009</w:t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</w:r>
      <w:r w:rsidR="00EF3385" w:rsidRPr="006F3567">
        <w:rPr>
          <w:rFonts w:ascii="Times" w:hAnsi="Times" w:cstheme="minorHAnsi"/>
        </w:rPr>
        <w:tab/>
        <w:t>(865) 227-1311</w:t>
      </w:r>
    </w:p>
    <w:p w14:paraId="43A9687E" w14:textId="77777777" w:rsidR="00165020" w:rsidRPr="006F3567" w:rsidRDefault="00165020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BS, Mathematics 1995</w:t>
      </w:r>
    </w:p>
    <w:p w14:paraId="551A8735" w14:textId="77777777" w:rsidR="00165020" w:rsidRPr="006F3567" w:rsidRDefault="00165020" w:rsidP="00165020">
      <w:pPr>
        <w:rPr>
          <w:rFonts w:ascii="Times" w:hAnsi="Times" w:cstheme="minorHAnsi"/>
        </w:rPr>
      </w:pPr>
    </w:p>
    <w:p w14:paraId="75C1E97F" w14:textId="77777777" w:rsidR="00165020" w:rsidRPr="006F3567" w:rsidRDefault="00165020" w:rsidP="00165020">
      <w:pPr>
        <w:rPr>
          <w:rFonts w:ascii="Times" w:hAnsi="Times" w:cstheme="minorHAnsi"/>
          <w:u w:val="single"/>
        </w:rPr>
      </w:pPr>
      <w:r w:rsidRPr="006F3567">
        <w:rPr>
          <w:rFonts w:ascii="Times" w:hAnsi="Times" w:cstheme="minorHAnsi"/>
          <w:u w:val="single"/>
        </w:rPr>
        <w:t>Recent Experience</w:t>
      </w:r>
    </w:p>
    <w:p w14:paraId="2B27A6E6" w14:textId="77777777" w:rsidR="00E34FF7" w:rsidRPr="006F3567" w:rsidRDefault="00E34FF7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  <w:b/>
          <w:bCs/>
        </w:rPr>
        <w:t>Spallation Neutron Source</w:t>
      </w:r>
      <w:r w:rsidRPr="006F3567">
        <w:rPr>
          <w:rFonts w:ascii="Times" w:hAnsi="Times" w:cstheme="minorHAnsi"/>
        </w:rPr>
        <w:t xml:space="preserve">, </w:t>
      </w:r>
      <w:r w:rsidR="00165020" w:rsidRPr="006F3567">
        <w:rPr>
          <w:rFonts w:ascii="Times" w:hAnsi="Times" w:cstheme="minorHAnsi"/>
        </w:rPr>
        <w:t>Oak Ridge National Lab, Oak Ridge</w:t>
      </w:r>
      <w:r w:rsidRPr="006F3567">
        <w:rPr>
          <w:rFonts w:ascii="Times" w:hAnsi="Times" w:cstheme="minorHAnsi"/>
        </w:rPr>
        <w:t>,</w:t>
      </w:r>
      <w:r w:rsidR="00165020" w:rsidRPr="006F3567">
        <w:rPr>
          <w:rFonts w:ascii="Times" w:hAnsi="Times" w:cstheme="minorHAnsi"/>
        </w:rPr>
        <w:t xml:space="preserve"> TN</w:t>
      </w:r>
      <w:r w:rsidRPr="006F3567">
        <w:rPr>
          <w:rFonts w:ascii="Times" w:hAnsi="Times" w:cstheme="minorHAnsi"/>
        </w:rPr>
        <w:tab/>
      </w:r>
    </w:p>
    <w:p w14:paraId="2B3A7F7A" w14:textId="77777777" w:rsidR="00165020" w:rsidRPr="006F3567" w:rsidRDefault="00E34FF7" w:rsidP="00E34FF7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January 2016 - present</w:t>
      </w:r>
    </w:p>
    <w:p w14:paraId="7E392E74" w14:textId="77777777" w:rsidR="00165020" w:rsidRPr="006F3567" w:rsidRDefault="00165020" w:rsidP="00165020">
      <w:pPr>
        <w:rPr>
          <w:rFonts w:ascii="Times" w:hAnsi="Times" w:cstheme="minorHAnsi"/>
          <w:i/>
          <w:iCs/>
        </w:rPr>
      </w:pPr>
      <w:r w:rsidRPr="006F3567">
        <w:rPr>
          <w:rFonts w:ascii="Times" w:hAnsi="Times" w:cstheme="minorHAnsi"/>
          <w:i/>
          <w:iCs/>
        </w:rPr>
        <w:t>Scientific Associate for the Nanoscale</w:t>
      </w:r>
      <w:r w:rsidR="00E34FF7" w:rsidRPr="006F3567">
        <w:rPr>
          <w:rFonts w:ascii="Times" w:hAnsi="Times" w:cstheme="minorHAnsi"/>
          <w:i/>
          <w:iCs/>
        </w:rPr>
        <w:t>-</w:t>
      </w:r>
      <w:r w:rsidRPr="006F3567">
        <w:rPr>
          <w:rFonts w:ascii="Times" w:hAnsi="Times" w:cstheme="minorHAnsi"/>
          <w:i/>
          <w:iCs/>
        </w:rPr>
        <w:t>Ordered Materials Diffractometer</w:t>
      </w:r>
      <w:r w:rsidR="00261D4F" w:rsidRPr="006F3567">
        <w:rPr>
          <w:rFonts w:ascii="Times" w:hAnsi="Times" w:cstheme="minorHAnsi"/>
          <w:i/>
          <w:iCs/>
        </w:rPr>
        <w:t xml:space="preserve"> (NOMAD)</w:t>
      </w:r>
    </w:p>
    <w:p w14:paraId="72B80EC0" w14:textId="77777777" w:rsidR="00261D4F" w:rsidRPr="006F3567" w:rsidRDefault="00261D4F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 xml:space="preserve">Ensure NOMAD is ready for data collection when users arrive for their experiments. This includes sample environment and instrument control </w:t>
      </w:r>
    </w:p>
    <w:p w14:paraId="1A1ACA46" w14:textId="77777777" w:rsidR="001A73A3" w:rsidRPr="006F3567" w:rsidRDefault="001A73A3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 xml:space="preserve">Schedule all user experiments, </w:t>
      </w:r>
      <w:r w:rsidR="00261D4F" w:rsidRPr="006F3567">
        <w:rPr>
          <w:rFonts w:ascii="Times" w:eastAsia="Times New Roman" w:hAnsi="Times" w:cstheme="minorHAnsi"/>
        </w:rPr>
        <w:t xml:space="preserve">keep up </w:t>
      </w:r>
      <w:r w:rsidRPr="006F3567">
        <w:rPr>
          <w:rFonts w:ascii="Times" w:eastAsia="Times New Roman" w:hAnsi="Times" w:cstheme="minorHAnsi"/>
        </w:rPr>
        <w:t>communication</w:t>
      </w:r>
      <w:r w:rsidR="00261D4F" w:rsidRPr="006F3567">
        <w:rPr>
          <w:rFonts w:ascii="Times" w:eastAsia="Times New Roman" w:hAnsi="Times" w:cstheme="minorHAnsi"/>
        </w:rPr>
        <w:t>s</w:t>
      </w:r>
      <w:r w:rsidRPr="006F3567">
        <w:rPr>
          <w:rFonts w:ascii="Times" w:eastAsia="Times New Roman" w:hAnsi="Times" w:cstheme="minorHAnsi"/>
        </w:rPr>
        <w:t xml:space="preserve"> with users concerning samples and sample environment needs, coordinate</w:t>
      </w:r>
      <w:r w:rsidR="00261D4F" w:rsidRPr="006F3567">
        <w:rPr>
          <w:rFonts w:ascii="Times" w:eastAsia="Times New Roman" w:hAnsi="Times" w:cstheme="minorHAnsi"/>
        </w:rPr>
        <w:t xml:space="preserve"> sample environment changes for shared equipment</w:t>
      </w:r>
      <w:r w:rsidRPr="006F3567">
        <w:rPr>
          <w:rFonts w:ascii="Times" w:eastAsia="Times New Roman" w:hAnsi="Times" w:cstheme="minorHAnsi"/>
        </w:rPr>
        <w:t xml:space="preserve"> </w:t>
      </w:r>
      <w:r w:rsidR="00261D4F" w:rsidRPr="006F3567">
        <w:rPr>
          <w:rFonts w:ascii="Times" w:eastAsia="Times New Roman" w:hAnsi="Times" w:cstheme="minorHAnsi"/>
        </w:rPr>
        <w:t>and do sample environment changes for NOMAD specific sample environment</w:t>
      </w:r>
    </w:p>
    <w:p w14:paraId="10CE8FE9" w14:textId="77777777" w:rsidR="00261D4F" w:rsidRPr="006F3567" w:rsidRDefault="00261D4F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>Establish procedures and optimize processes that</w:t>
      </w:r>
      <w:r w:rsidR="0014676C" w:rsidRPr="006F3567">
        <w:rPr>
          <w:rFonts w:ascii="Times" w:eastAsia="Times New Roman" w:hAnsi="Times" w:cstheme="minorHAnsi"/>
        </w:rPr>
        <w:t xml:space="preserve"> allow us to</w:t>
      </w:r>
      <w:r w:rsidRPr="006F3567">
        <w:rPr>
          <w:rFonts w:ascii="Times" w:eastAsia="Times New Roman" w:hAnsi="Times" w:cstheme="minorHAnsi"/>
        </w:rPr>
        <w:t xml:space="preserve"> take advantage of NOMAD’s high flux</w:t>
      </w:r>
      <w:r w:rsidR="0014676C" w:rsidRPr="006F3567">
        <w:rPr>
          <w:rFonts w:ascii="Times" w:eastAsia="Times New Roman" w:hAnsi="Times" w:cstheme="minorHAnsi"/>
        </w:rPr>
        <w:t>,</w:t>
      </w:r>
      <w:r w:rsidRPr="006F3567">
        <w:rPr>
          <w:rFonts w:ascii="Times" w:eastAsia="Times New Roman" w:hAnsi="Times" w:cstheme="minorHAnsi"/>
        </w:rPr>
        <w:t xml:space="preserve"> which offers the opportunity to complete a large number of experiments</w:t>
      </w:r>
    </w:p>
    <w:p w14:paraId="5F73A520" w14:textId="77777777" w:rsidR="00261D4F" w:rsidRPr="006F3567" w:rsidRDefault="00261D4F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 xml:space="preserve">Train all users and </w:t>
      </w:r>
      <w:r w:rsidR="0014676C" w:rsidRPr="006F3567">
        <w:rPr>
          <w:rFonts w:ascii="Times" w:eastAsia="Times New Roman" w:hAnsi="Times" w:cstheme="minorHAnsi"/>
        </w:rPr>
        <w:t>assure a safety culture is adhered to</w:t>
      </w:r>
    </w:p>
    <w:p w14:paraId="7292A167" w14:textId="77777777" w:rsidR="001A73A3" w:rsidRPr="006F3567" w:rsidRDefault="001A73A3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>Manage upgrades at the instrument through coordinating support groups’ activities</w:t>
      </w:r>
    </w:p>
    <w:p w14:paraId="7E46D204" w14:textId="77777777" w:rsidR="0014676C" w:rsidRPr="006F3567" w:rsidRDefault="00E34FF7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>Project Lead for the NOMAD Auto Changer</w:t>
      </w:r>
    </w:p>
    <w:p w14:paraId="7DF3EF57" w14:textId="77777777" w:rsidR="00E34FF7" w:rsidRPr="006F3567" w:rsidRDefault="0014676C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 xml:space="preserve">Project Lead for the </w:t>
      </w:r>
      <w:r w:rsidR="00E34FF7" w:rsidRPr="006F3567">
        <w:rPr>
          <w:rFonts w:ascii="Times" w:eastAsia="Times New Roman" w:hAnsi="Times" w:cstheme="minorHAnsi"/>
        </w:rPr>
        <w:t>ORNL vacuum furnace</w:t>
      </w:r>
      <w:r w:rsidRPr="006F3567">
        <w:rPr>
          <w:rFonts w:ascii="Times" w:eastAsia="Times New Roman" w:hAnsi="Times" w:cstheme="minorHAnsi"/>
        </w:rPr>
        <w:t xml:space="preserve"> which will be</w:t>
      </w:r>
      <w:r w:rsidR="00E34FF7" w:rsidRPr="006F3567">
        <w:rPr>
          <w:rFonts w:ascii="Times" w:eastAsia="Times New Roman" w:hAnsi="Times" w:cstheme="minorHAnsi"/>
        </w:rPr>
        <w:t xml:space="preserve"> optimized for diffraction</w:t>
      </w:r>
    </w:p>
    <w:p w14:paraId="1231E19B" w14:textId="77777777" w:rsidR="001A73A3" w:rsidRPr="006F3567" w:rsidRDefault="001A73A3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>Technical Lead for the NOMAD background project</w:t>
      </w:r>
    </w:p>
    <w:p w14:paraId="1EA8BAAC" w14:textId="786FA6CE" w:rsidR="001A73A3" w:rsidRPr="006F3567" w:rsidRDefault="001A73A3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proofErr w:type="spellStart"/>
      <w:r w:rsidRPr="006F3567">
        <w:rPr>
          <w:rFonts w:ascii="Times" w:eastAsia="Times New Roman" w:hAnsi="Times" w:cstheme="minorHAnsi"/>
        </w:rPr>
        <w:t>WiNS</w:t>
      </w:r>
      <w:proofErr w:type="spellEnd"/>
      <w:r w:rsidRPr="006F3567">
        <w:rPr>
          <w:rFonts w:ascii="Times" w:eastAsia="Times New Roman" w:hAnsi="Times" w:cstheme="minorHAnsi"/>
        </w:rPr>
        <w:t xml:space="preserve"> Executive committee, NXS planning committee, Diversity and Inclusion </w:t>
      </w:r>
      <w:r w:rsidR="00F90D80" w:rsidRPr="006F3567">
        <w:rPr>
          <w:rFonts w:ascii="Times" w:eastAsia="Times New Roman" w:hAnsi="Times" w:cstheme="minorHAnsi"/>
        </w:rPr>
        <w:t xml:space="preserve">Initiative co-chair, Remote Experiment Task Force, UTK MSE </w:t>
      </w:r>
      <w:proofErr w:type="spellStart"/>
      <w:r w:rsidR="00F90D80" w:rsidRPr="006F3567">
        <w:rPr>
          <w:rFonts w:ascii="Times" w:eastAsia="Times New Roman" w:hAnsi="Times" w:cstheme="minorHAnsi"/>
        </w:rPr>
        <w:t>Senoir</w:t>
      </w:r>
      <w:proofErr w:type="spellEnd"/>
      <w:r w:rsidR="00F90D80" w:rsidRPr="006F3567">
        <w:rPr>
          <w:rFonts w:ascii="Times" w:eastAsia="Times New Roman" w:hAnsi="Times" w:cstheme="minorHAnsi"/>
        </w:rPr>
        <w:t xml:space="preserve"> Design mentor</w:t>
      </w:r>
    </w:p>
    <w:p w14:paraId="4A0E1746" w14:textId="52E85A9F" w:rsidR="0014676C" w:rsidRPr="006F3567" w:rsidRDefault="0014676C" w:rsidP="001A73A3">
      <w:pPr>
        <w:pStyle w:val="ListParagraph"/>
        <w:numPr>
          <w:ilvl w:val="0"/>
          <w:numId w:val="1"/>
        </w:numPr>
        <w:rPr>
          <w:rFonts w:ascii="Times" w:eastAsia="Times New Roman" w:hAnsi="Times" w:cstheme="minorHAnsi"/>
          <w:i/>
          <w:iCs/>
        </w:rPr>
      </w:pPr>
      <w:r w:rsidRPr="006F3567">
        <w:rPr>
          <w:rFonts w:ascii="Times" w:eastAsia="Times New Roman" w:hAnsi="Times" w:cstheme="minorHAnsi"/>
        </w:rPr>
        <w:t xml:space="preserve">Scientific &amp; Technical Advisory Panel (STAP) for Users and Samples, Chair – </w:t>
      </w:r>
      <w:r w:rsidR="00F90D80" w:rsidRPr="006F3567">
        <w:rPr>
          <w:rFonts w:ascii="Times" w:eastAsia="Times New Roman" w:hAnsi="Times" w:cstheme="minorHAnsi"/>
        </w:rPr>
        <w:t>4</w:t>
      </w:r>
      <w:r w:rsidRPr="006F3567">
        <w:rPr>
          <w:rFonts w:ascii="Times" w:eastAsia="Times New Roman" w:hAnsi="Times" w:cstheme="minorHAnsi"/>
        </w:rPr>
        <w:t xml:space="preserve"> years, European Spallation Source, Lund, Sweden </w:t>
      </w:r>
    </w:p>
    <w:p w14:paraId="199FBA83" w14:textId="77777777" w:rsidR="0014676C" w:rsidRPr="006F3567" w:rsidRDefault="0014676C" w:rsidP="0014676C">
      <w:pPr>
        <w:rPr>
          <w:rFonts w:ascii="Times" w:hAnsi="Times" w:cstheme="minorHAnsi"/>
          <w:i/>
          <w:iCs/>
        </w:rPr>
      </w:pPr>
    </w:p>
    <w:p w14:paraId="1FC30484" w14:textId="77777777" w:rsidR="0014676C" w:rsidRPr="006F3567" w:rsidRDefault="0014676C" w:rsidP="0014676C">
      <w:pPr>
        <w:rPr>
          <w:rFonts w:ascii="Times" w:hAnsi="Times" w:cstheme="minorHAnsi"/>
          <w:u w:val="single"/>
        </w:rPr>
      </w:pPr>
      <w:r w:rsidRPr="006F3567">
        <w:rPr>
          <w:rFonts w:ascii="Times" w:hAnsi="Times" w:cstheme="minorHAnsi"/>
          <w:u w:val="single"/>
        </w:rPr>
        <w:t>Previous Experience</w:t>
      </w:r>
    </w:p>
    <w:p w14:paraId="1790F606" w14:textId="77777777" w:rsidR="0014676C" w:rsidRPr="006F3567" w:rsidRDefault="0014676C" w:rsidP="0014676C">
      <w:pPr>
        <w:rPr>
          <w:rFonts w:ascii="Times" w:hAnsi="Times" w:cstheme="minorHAnsi"/>
        </w:rPr>
      </w:pPr>
      <w:r w:rsidRPr="006F3567">
        <w:rPr>
          <w:rFonts w:ascii="Times" w:hAnsi="Times" w:cstheme="minorHAnsi"/>
          <w:b/>
          <w:bCs/>
        </w:rPr>
        <w:t>European Spallation Source</w:t>
      </w:r>
      <w:r w:rsidRPr="006F3567">
        <w:rPr>
          <w:rFonts w:ascii="Times" w:hAnsi="Times" w:cstheme="minorHAnsi"/>
        </w:rPr>
        <w:t>, Lund, Sweden</w:t>
      </w:r>
    </w:p>
    <w:p w14:paraId="2F3B1541" w14:textId="77777777" w:rsidR="0014676C" w:rsidRPr="006F3567" w:rsidRDefault="0014676C" w:rsidP="0014676C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April 2013 – January 2016</w:t>
      </w:r>
    </w:p>
    <w:p w14:paraId="08AB26A0" w14:textId="77777777" w:rsidR="0014676C" w:rsidRPr="006F3567" w:rsidRDefault="0014676C" w:rsidP="0014676C">
      <w:pPr>
        <w:rPr>
          <w:rFonts w:ascii="Times" w:hAnsi="Times" w:cstheme="minorHAnsi"/>
        </w:rPr>
      </w:pPr>
      <w:r w:rsidRPr="006F3567">
        <w:rPr>
          <w:rFonts w:ascii="Times" w:hAnsi="Times" w:cstheme="minorHAnsi"/>
          <w:i/>
          <w:iCs/>
        </w:rPr>
        <w:t>User Laboratory</w:t>
      </w:r>
      <w:r w:rsidR="008457F2" w:rsidRPr="006F3567">
        <w:rPr>
          <w:rFonts w:ascii="Times" w:hAnsi="Times" w:cstheme="minorHAnsi"/>
          <w:i/>
          <w:iCs/>
        </w:rPr>
        <w:t xml:space="preserve"> Coordinator in the Scientific Activities Division</w:t>
      </w:r>
    </w:p>
    <w:p w14:paraId="28F56A98" w14:textId="4963FF29" w:rsidR="008457F2" w:rsidRPr="006F3567" w:rsidRDefault="008457F2" w:rsidP="008457F2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Managed a project valued at 4 M</w:t>
      </w:r>
      <w:r w:rsidR="00C122B7" w:rsidRPr="006F3567">
        <w:rPr>
          <w:rFonts w:ascii="Times" w:eastAsia="Times New Roman" w:hAnsi="Times" w:cstheme="minorHAnsi"/>
        </w:rPr>
        <w:t>€</w:t>
      </w:r>
      <w:r w:rsidRPr="006F3567">
        <w:rPr>
          <w:rFonts w:ascii="Times" w:eastAsia="Times New Roman" w:hAnsi="Times" w:cstheme="minorHAnsi"/>
        </w:rPr>
        <w:t xml:space="preserve"> and secured in-kind funding from contributing partner countries</w:t>
      </w:r>
    </w:p>
    <w:p w14:paraId="6A0711F9" w14:textId="77777777" w:rsidR="008457F2" w:rsidRPr="006F3567" w:rsidRDefault="008457F2" w:rsidP="008457F2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Developed safety procedures for sample handling and user lab access</w:t>
      </w:r>
    </w:p>
    <w:p w14:paraId="2C49659C" w14:textId="77777777" w:rsidR="008457F2" w:rsidRPr="006F3567" w:rsidRDefault="008457F2" w:rsidP="008457F2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Worked with architects and conventional facilities to establish ~34,000 ft</w:t>
      </w:r>
      <w:r w:rsidRPr="006F3567">
        <w:rPr>
          <w:rFonts w:ascii="Times" w:eastAsia="Times New Roman" w:hAnsi="Times" w:cstheme="minorHAnsi"/>
          <w:vertAlign w:val="superscript"/>
        </w:rPr>
        <w:t>2</w:t>
      </w:r>
      <w:r w:rsidRPr="006F3567">
        <w:rPr>
          <w:rFonts w:ascii="Times" w:eastAsia="Times New Roman" w:hAnsi="Times" w:cstheme="minorHAnsi"/>
        </w:rPr>
        <w:t xml:space="preserve"> of scientific laboratory and technical workshop space</w:t>
      </w:r>
    </w:p>
    <w:p w14:paraId="16CBD795" w14:textId="77777777" w:rsidR="008457F2" w:rsidRPr="006F3567" w:rsidRDefault="008457F2" w:rsidP="008457F2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Coordinated detailed designs of these spaces including power requirements, heat loads, utility placements and furniture needs</w:t>
      </w:r>
    </w:p>
    <w:p w14:paraId="251A34AA" w14:textId="77777777" w:rsidR="008457F2" w:rsidRPr="006F3567" w:rsidRDefault="008457F2" w:rsidP="008457F2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Defined requirements for all aspects of operation of user labs including sample storage, workflow, waste flow, fire zoning, etc.</w:t>
      </w:r>
    </w:p>
    <w:p w14:paraId="796326CF" w14:textId="77777777" w:rsidR="008457F2" w:rsidRPr="006F3567" w:rsidRDefault="005F2374" w:rsidP="008457F2">
      <w:pPr>
        <w:pStyle w:val="ListParagraph"/>
        <w:numPr>
          <w:ilvl w:val="0"/>
          <w:numId w:val="2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Visited and worked closely with European neutron research facilities such as ISIS and ILL</w:t>
      </w:r>
    </w:p>
    <w:p w14:paraId="6BD4D738" w14:textId="77777777" w:rsidR="00301327" w:rsidRPr="006F3567" w:rsidRDefault="00301327" w:rsidP="005F2374">
      <w:pPr>
        <w:rPr>
          <w:rFonts w:ascii="Times" w:hAnsi="Times" w:cstheme="minorHAnsi"/>
          <w:i/>
          <w:iCs/>
        </w:rPr>
      </w:pPr>
    </w:p>
    <w:p w14:paraId="5F5181A4" w14:textId="77777777" w:rsidR="005F2374" w:rsidRPr="006F3567" w:rsidRDefault="005F2374" w:rsidP="005F2374">
      <w:pPr>
        <w:rPr>
          <w:rFonts w:ascii="Times" w:hAnsi="Times" w:cstheme="minorHAnsi"/>
        </w:rPr>
      </w:pPr>
      <w:r w:rsidRPr="006F3567">
        <w:rPr>
          <w:rFonts w:ascii="Times" w:hAnsi="Times" w:cstheme="minorHAnsi"/>
          <w:i/>
          <w:iCs/>
        </w:rPr>
        <w:lastRenderedPageBreak/>
        <w:t>Interface Coordinator in the Scientific Projects Division</w:t>
      </w:r>
    </w:p>
    <w:p w14:paraId="54E76BFC" w14:textId="77777777" w:rsidR="005F2374" w:rsidRPr="006F3567" w:rsidRDefault="005F2374" w:rsidP="005F2374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Implemented requirements engineering for newly developed neutron scattering instruments</w:t>
      </w:r>
    </w:p>
    <w:p w14:paraId="4D26829B" w14:textId="77777777" w:rsidR="005F2374" w:rsidRPr="006F3567" w:rsidRDefault="005F2374" w:rsidP="005F2374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Communicated instrument requirements to the conventional facilities division</w:t>
      </w:r>
    </w:p>
    <w:p w14:paraId="596D48E7" w14:textId="77777777" w:rsidR="005F2374" w:rsidRPr="006F3567" w:rsidRDefault="005F2374" w:rsidP="005F2374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Improved processes for collecting, maintaining, and communicating requirements</w:t>
      </w:r>
    </w:p>
    <w:p w14:paraId="5092A287" w14:textId="77777777" w:rsidR="00301327" w:rsidRPr="006F3567" w:rsidRDefault="005F2374" w:rsidP="005F2374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Participated in studies</w:t>
      </w:r>
      <w:r w:rsidR="00301327" w:rsidRPr="006F3567">
        <w:rPr>
          <w:rFonts w:ascii="Times" w:eastAsia="Times New Roman" w:hAnsi="Times" w:cstheme="minorHAnsi"/>
        </w:rPr>
        <w:t xml:space="preserve"> such as floor deformation </w:t>
      </w:r>
      <w:r w:rsidR="00C52EEB" w:rsidRPr="006F3567">
        <w:rPr>
          <w:rFonts w:ascii="Times" w:eastAsia="Times New Roman" w:hAnsi="Times" w:cstheme="minorHAnsi"/>
        </w:rPr>
        <w:t>tolerances</w:t>
      </w:r>
      <w:r w:rsidR="00301327" w:rsidRPr="006F3567">
        <w:rPr>
          <w:rFonts w:ascii="Times" w:eastAsia="Times New Roman" w:hAnsi="Times" w:cstheme="minorHAnsi"/>
        </w:rPr>
        <w:t xml:space="preserve"> and their effect on piling schemes, heat loads and their effect on HVAC engineering, lifting requirements and development of crane solutions</w:t>
      </w:r>
    </w:p>
    <w:p w14:paraId="2472025E" w14:textId="77777777" w:rsidR="005F2374" w:rsidRPr="006F3567" w:rsidRDefault="00301327" w:rsidP="005F2374">
      <w:pPr>
        <w:pStyle w:val="ListParagraph"/>
        <w:numPr>
          <w:ilvl w:val="0"/>
          <w:numId w:val="3"/>
        </w:numPr>
        <w:rPr>
          <w:rFonts w:ascii="Times" w:eastAsia="Times New Roman" w:hAnsi="Times" w:cstheme="minorHAnsi"/>
        </w:rPr>
      </w:pPr>
      <w:r w:rsidRPr="006F3567">
        <w:rPr>
          <w:rFonts w:ascii="Times" w:eastAsia="Times New Roman" w:hAnsi="Times" w:cstheme="minorHAnsi"/>
        </w:rPr>
        <w:t>Worked with consultants (electrical engineers, crane engineers, HVAC engineers, etc.) to produce a facility that would ensure maximum flexibility to “future-proof” for needs of the neutron instruments</w:t>
      </w:r>
      <w:r w:rsidR="005F2374" w:rsidRPr="006F3567">
        <w:rPr>
          <w:rFonts w:ascii="Times" w:eastAsia="Times New Roman" w:hAnsi="Times" w:cstheme="minorHAnsi"/>
        </w:rPr>
        <w:t xml:space="preserve"> </w:t>
      </w:r>
    </w:p>
    <w:p w14:paraId="44D18426" w14:textId="77777777" w:rsidR="00301327" w:rsidRPr="006F3567" w:rsidRDefault="00301327" w:rsidP="00301327">
      <w:pPr>
        <w:rPr>
          <w:rFonts w:ascii="Times" w:hAnsi="Times" w:cstheme="minorHAnsi"/>
        </w:rPr>
      </w:pPr>
    </w:p>
    <w:p w14:paraId="34C781E4" w14:textId="77777777" w:rsidR="00D44A71" w:rsidRPr="006F3567" w:rsidRDefault="00D44A71" w:rsidP="00301327">
      <w:pPr>
        <w:rPr>
          <w:rFonts w:ascii="Times" w:hAnsi="Times" w:cstheme="minorHAnsi"/>
          <w:u w:val="single"/>
        </w:rPr>
      </w:pPr>
      <w:r w:rsidRPr="006F3567">
        <w:rPr>
          <w:rFonts w:ascii="Times" w:hAnsi="Times" w:cstheme="minorHAnsi"/>
          <w:u w:val="single"/>
        </w:rPr>
        <w:t>Funding</w:t>
      </w:r>
    </w:p>
    <w:p w14:paraId="64CEEABB" w14:textId="77777777" w:rsidR="00D44A71" w:rsidRPr="006F3567" w:rsidRDefault="00D44A71" w:rsidP="00301327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Mid-scale Total Scattering MICAS $85K</w:t>
      </w:r>
    </w:p>
    <w:p w14:paraId="710FFF24" w14:textId="77777777" w:rsidR="00D44A71" w:rsidRPr="006F3567" w:rsidRDefault="00D44A71" w:rsidP="00301327">
      <w:pPr>
        <w:rPr>
          <w:rFonts w:ascii="Times" w:hAnsi="Times" w:cstheme="minorHAnsi"/>
          <w:u w:val="single"/>
        </w:rPr>
      </w:pPr>
    </w:p>
    <w:p w14:paraId="7CD9087E" w14:textId="77777777" w:rsidR="006F3567" w:rsidRDefault="00301327" w:rsidP="006F3567">
      <w:pPr>
        <w:rPr>
          <w:rFonts w:ascii="Times" w:hAnsi="Times" w:cstheme="minorHAnsi"/>
          <w:u w:val="single"/>
        </w:rPr>
      </w:pPr>
      <w:r w:rsidRPr="006F3567">
        <w:rPr>
          <w:rFonts w:ascii="Times" w:hAnsi="Times" w:cstheme="minorHAnsi"/>
          <w:u w:val="single"/>
        </w:rPr>
        <w:t>Publications</w:t>
      </w:r>
    </w:p>
    <w:p w14:paraId="59751CDE" w14:textId="12E8823D" w:rsidR="003D5A97" w:rsidRPr="006F3567" w:rsidRDefault="003D5A97" w:rsidP="006F3567">
      <w:pPr>
        <w:rPr>
          <w:rFonts w:ascii="Times" w:hAnsi="Times" w:cstheme="minorHAnsi"/>
          <w:u w:val="single"/>
        </w:rPr>
      </w:pPr>
      <w:r w:rsidRPr="006F3567">
        <w:rPr>
          <w:rFonts w:ascii="Times" w:hAnsi="Times" w:cstheme="minorHAnsi"/>
        </w:rPr>
        <w:t xml:space="preserve">McCoy, S.A.E., et al., </w:t>
      </w:r>
      <w:r w:rsidRPr="006F3567">
        <w:rPr>
          <w:rFonts w:ascii="Times" w:hAnsi="Times" w:cstheme="minorHAnsi"/>
          <w:i/>
          <w:iCs/>
        </w:rPr>
        <w:t>Synthesis and structural characterization of Ca12Ga14O33</w:t>
      </w:r>
      <w:r w:rsidRPr="006F3567">
        <w:rPr>
          <w:rFonts w:ascii="Times" w:hAnsi="Times" w:cstheme="minorHAnsi"/>
        </w:rPr>
        <w:t xml:space="preserve">, Scientific Reports, </w:t>
      </w:r>
      <w:r w:rsidRPr="006F3567">
        <w:rPr>
          <w:rFonts w:ascii="Times" w:hAnsi="Times" w:cstheme="minorHAnsi"/>
          <w:b/>
          <w:bCs/>
        </w:rPr>
        <w:t>10</w:t>
      </w:r>
      <w:r w:rsidRPr="006F3567">
        <w:rPr>
          <w:rFonts w:ascii="Times" w:hAnsi="Times" w:cstheme="minorHAnsi"/>
        </w:rPr>
        <w:t>, 16311 (2020)</w:t>
      </w:r>
      <w:r w:rsidRPr="006F3567">
        <w:rPr>
          <w:rFonts w:ascii="Times" w:hAnsi="Times"/>
        </w:rPr>
        <w:t xml:space="preserve">: DOI: 10.1038/s41598-020-73311-w </w:t>
      </w:r>
    </w:p>
    <w:p w14:paraId="64E5323F" w14:textId="7CE15353" w:rsidR="00C122B7" w:rsidRPr="006F3567" w:rsidRDefault="003D5A97" w:rsidP="003D5A97">
      <w:pPr>
        <w:pStyle w:val="NormalWeb"/>
        <w:rPr>
          <w:rFonts w:ascii="Times" w:hAnsi="Times" w:cstheme="minorHAnsi"/>
        </w:rPr>
      </w:pPr>
      <w:proofErr w:type="spellStart"/>
      <w:r w:rsidRPr="006F3567">
        <w:rPr>
          <w:rFonts w:ascii="Times" w:hAnsi="Times" w:cstheme="minorHAnsi"/>
        </w:rPr>
        <w:t>Drey</w:t>
      </w:r>
      <w:proofErr w:type="spellEnd"/>
      <w:r w:rsidRPr="006F3567">
        <w:rPr>
          <w:rFonts w:ascii="Times" w:hAnsi="Times" w:cstheme="minorHAnsi"/>
        </w:rPr>
        <w:t xml:space="preserve">, D., et al., </w:t>
      </w:r>
      <w:r w:rsidRPr="006F3567">
        <w:rPr>
          <w:rFonts w:ascii="Times" w:hAnsi="Times" w:cstheme="minorHAnsi"/>
          <w:i/>
          <w:iCs/>
        </w:rPr>
        <w:t>Disorder in Ho2Ti2-xZrxO7 pyrochlore to defect fluorite solid solution series</w:t>
      </w:r>
      <w:r w:rsidRPr="006F3567">
        <w:rPr>
          <w:rFonts w:ascii="Times" w:hAnsi="Times" w:cstheme="minorHAnsi"/>
        </w:rPr>
        <w:t xml:space="preserve">, RSC Adv., </w:t>
      </w:r>
      <w:r w:rsidRPr="006F3567">
        <w:rPr>
          <w:rFonts w:ascii="Times" w:hAnsi="Times" w:cstheme="minorHAnsi"/>
          <w:b/>
          <w:bCs/>
        </w:rPr>
        <w:t>10</w:t>
      </w:r>
      <w:r w:rsidRPr="006F3567">
        <w:rPr>
          <w:rFonts w:ascii="Times" w:hAnsi="Times" w:cstheme="minorHAnsi"/>
        </w:rPr>
        <w:t>, p. 34632-50 (2020): DOI: 10.1039/D0RA07118H</w:t>
      </w:r>
    </w:p>
    <w:p w14:paraId="52238EA6" w14:textId="3278A14B" w:rsidR="00C122B7" w:rsidRPr="006F3567" w:rsidRDefault="00C122B7" w:rsidP="00165020">
      <w:pPr>
        <w:rPr>
          <w:rFonts w:ascii="Times" w:hAnsi="Times"/>
        </w:rPr>
      </w:pPr>
      <w:proofErr w:type="spellStart"/>
      <w:r w:rsidRPr="006F3567">
        <w:rPr>
          <w:rFonts w:ascii="Times" w:hAnsi="Times" w:cstheme="minorHAnsi"/>
        </w:rPr>
        <w:t>Cladek</w:t>
      </w:r>
      <w:proofErr w:type="spellEnd"/>
      <w:r w:rsidRPr="006F3567">
        <w:rPr>
          <w:rFonts w:ascii="Times" w:hAnsi="Times" w:cstheme="minorHAnsi"/>
        </w:rPr>
        <w:t xml:space="preserve">, B.R., </w:t>
      </w:r>
      <w:proofErr w:type="gramStart"/>
      <w:r w:rsidRPr="006F3567">
        <w:rPr>
          <w:rFonts w:ascii="Times" w:hAnsi="Times" w:cstheme="minorHAnsi"/>
        </w:rPr>
        <w:t xml:space="preserve">et </w:t>
      </w:r>
      <w:proofErr w:type="spellStart"/>
      <w:r w:rsidRPr="006F3567">
        <w:rPr>
          <w:rFonts w:ascii="Times" w:hAnsi="Times" w:cstheme="minorHAnsi"/>
        </w:rPr>
        <w:t>al.,</w:t>
      </w:r>
      <w:r w:rsidRPr="006F3567">
        <w:rPr>
          <w:rFonts w:ascii="Times" w:hAnsi="Times" w:cstheme="minorHAnsi"/>
          <w:i/>
          <w:iCs/>
        </w:rPr>
        <w:t>Molecular</w:t>
      </w:r>
      <w:proofErr w:type="spellEnd"/>
      <w:proofErr w:type="gramEnd"/>
      <w:r w:rsidRPr="006F3567">
        <w:rPr>
          <w:rFonts w:ascii="Times" w:hAnsi="Times" w:cstheme="minorHAnsi"/>
          <w:i/>
          <w:iCs/>
        </w:rPr>
        <w:t xml:space="preserve"> Rotational Dynamics in Mixed CH4-CO2 Hydrates: Insights from Molecular Dynamics Simulations</w:t>
      </w:r>
      <w:r w:rsidRPr="006F3567">
        <w:rPr>
          <w:rFonts w:ascii="Times" w:hAnsi="Times" w:cstheme="minorHAnsi"/>
        </w:rPr>
        <w:t xml:space="preserve">, Journal of Physical Chemistry C, </w:t>
      </w:r>
      <w:r w:rsidRPr="006F3567">
        <w:rPr>
          <w:rFonts w:ascii="Times" w:hAnsi="Times" w:cstheme="minorHAnsi"/>
          <w:b/>
          <w:bCs/>
        </w:rPr>
        <w:t>123</w:t>
      </w:r>
      <w:r w:rsidRPr="006F3567">
        <w:rPr>
          <w:rFonts w:ascii="Times" w:hAnsi="Times" w:cstheme="minorHAnsi"/>
        </w:rPr>
        <w:t xml:space="preserve">(43), p. 26251-62 (2019): </w:t>
      </w:r>
      <w:r w:rsidRPr="006F3567">
        <w:rPr>
          <w:rStyle w:val="frlabel"/>
          <w:rFonts w:ascii="Times" w:hAnsi="Times"/>
          <w:color w:val="2A2D35"/>
          <w:shd w:val="clear" w:color="auto" w:fill="F8F8F8"/>
        </w:rPr>
        <w:t>DOI:</w:t>
      </w:r>
      <w:r w:rsidRPr="006F3567">
        <w:rPr>
          <w:rFonts w:ascii="Times" w:hAnsi="Times"/>
          <w:color w:val="2A2D35"/>
          <w:shd w:val="clear" w:color="auto" w:fill="F8F8F8"/>
        </w:rPr>
        <w:t> </w:t>
      </w:r>
      <w:r w:rsidRPr="006F3567">
        <w:rPr>
          <w:rFonts w:ascii="Times" w:hAnsi="Times"/>
        </w:rPr>
        <w:t>10.1021/acs.jpcc.9b06242</w:t>
      </w:r>
    </w:p>
    <w:p w14:paraId="421AA1FE" w14:textId="77777777" w:rsidR="00C122B7" w:rsidRPr="006F3567" w:rsidRDefault="00C122B7" w:rsidP="00165020">
      <w:pPr>
        <w:rPr>
          <w:rFonts w:ascii="Times" w:hAnsi="Times" w:cstheme="minorHAnsi"/>
          <w:color w:val="000000" w:themeColor="text1"/>
        </w:rPr>
      </w:pPr>
    </w:p>
    <w:p w14:paraId="73788B73" w14:textId="350DAB17" w:rsidR="003870A0" w:rsidRPr="006F3567" w:rsidRDefault="003870A0" w:rsidP="00165020">
      <w:pPr>
        <w:rPr>
          <w:rFonts w:ascii="Times" w:hAnsi="Times"/>
        </w:rPr>
      </w:pPr>
      <w:proofErr w:type="spellStart"/>
      <w:r w:rsidRPr="006F3567">
        <w:rPr>
          <w:rFonts w:ascii="Times" w:hAnsi="Times" w:cstheme="minorHAnsi"/>
          <w:color w:val="000000" w:themeColor="text1"/>
        </w:rPr>
        <w:t>Kupwade</w:t>
      </w:r>
      <w:proofErr w:type="spellEnd"/>
      <w:r w:rsidRPr="006F3567">
        <w:rPr>
          <w:rFonts w:ascii="Times" w:hAnsi="Times" w:cstheme="minorHAnsi"/>
          <w:color w:val="000000" w:themeColor="text1"/>
        </w:rPr>
        <w:t>-Patil, K</w:t>
      </w:r>
      <w:r w:rsidR="003D5A97" w:rsidRPr="006F3567">
        <w:rPr>
          <w:rFonts w:ascii="Times" w:hAnsi="Times" w:cstheme="minorHAnsi"/>
          <w:color w:val="000000" w:themeColor="text1"/>
        </w:rPr>
        <w:t>.</w:t>
      </w:r>
      <w:r w:rsidRPr="006F3567">
        <w:rPr>
          <w:rFonts w:ascii="Times" w:hAnsi="Times" w:cstheme="minorHAnsi"/>
          <w:color w:val="000000" w:themeColor="text1"/>
        </w:rPr>
        <w:t>, et al</w:t>
      </w:r>
      <w:r w:rsidR="003D5A97" w:rsidRPr="006F3567">
        <w:rPr>
          <w:rFonts w:ascii="Times" w:hAnsi="Times" w:cstheme="minorHAnsi"/>
          <w:color w:val="000000" w:themeColor="text1"/>
        </w:rPr>
        <w:t>.</w:t>
      </w:r>
      <w:r w:rsidRPr="006F3567">
        <w:rPr>
          <w:rFonts w:ascii="Times" w:hAnsi="Times" w:cstheme="minorHAnsi"/>
          <w:color w:val="000000" w:themeColor="text1"/>
        </w:rPr>
        <w:t xml:space="preserve">, </w:t>
      </w:r>
      <w:r w:rsidRPr="006F3567">
        <w:rPr>
          <w:rFonts w:ascii="Times" w:hAnsi="Times" w:cstheme="minorHAnsi"/>
          <w:i/>
          <w:iCs/>
          <w:color w:val="000000" w:themeColor="text1"/>
        </w:rPr>
        <w:t>Retarder effect on hydrating oil well cements investigated using in situ neutron/X-ray distribution function analysis</w:t>
      </w:r>
      <w:r w:rsidRPr="006F3567">
        <w:rPr>
          <w:rFonts w:ascii="Times" w:hAnsi="Times" w:cstheme="minorHAnsi"/>
          <w:color w:val="000000" w:themeColor="text1"/>
        </w:rPr>
        <w:t>, Cement and Concrete Research,</w:t>
      </w:r>
      <w:r w:rsidR="00C122B7" w:rsidRPr="006F3567">
        <w:rPr>
          <w:rFonts w:ascii="Times" w:hAnsi="Times" w:cstheme="minorHAnsi"/>
          <w:color w:val="000000" w:themeColor="text1"/>
        </w:rPr>
        <w:t xml:space="preserve"> </w:t>
      </w:r>
      <w:r w:rsidR="00C122B7" w:rsidRPr="006F3567">
        <w:rPr>
          <w:rFonts w:ascii="Times" w:hAnsi="Times" w:cstheme="minorHAnsi"/>
          <w:b/>
          <w:bCs/>
          <w:color w:val="000000" w:themeColor="text1"/>
        </w:rPr>
        <w:t>126</w:t>
      </w:r>
      <w:r w:rsidR="00C122B7" w:rsidRPr="006F3567">
        <w:rPr>
          <w:rFonts w:ascii="Times" w:hAnsi="Times" w:cstheme="minorHAnsi"/>
          <w:color w:val="000000" w:themeColor="text1"/>
        </w:rPr>
        <w:t xml:space="preserve">, 105920 (2019): </w:t>
      </w:r>
      <w:r w:rsidR="00C122B7" w:rsidRPr="006F3567">
        <w:rPr>
          <w:rStyle w:val="frlabel"/>
          <w:rFonts w:ascii="Times" w:hAnsi="Times"/>
          <w:color w:val="2A2D35"/>
          <w:shd w:val="clear" w:color="auto" w:fill="F8F8F8"/>
        </w:rPr>
        <w:t>DOI:</w:t>
      </w:r>
      <w:r w:rsidR="00C122B7" w:rsidRPr="006F3567">
        <w:rPr>
          <w:rFonts w:ascii="Times" w:hAnsi="Times"/>
          <w:color w:val="2A2D35"/>
          <w:shd w:val="clear" w:color="auto" w:fill="F8F8F8"/>
        </w:rPr>
        <w:t> </w:t>
      </w:r>
      <w:r w:rsidR="00C122B7" w:rsidRPr="006F3567">
        <w:rPr>
          <w:rFonts w:ascii="Times" w:hAnsi="Times"/>
        </w:rPr>
        <w:t>10.1016/j.cemconres.2019.105920</w:t>
      </w:r>
    </w:p>
    <w:p w14:paraId="4DD270C3" w14:textId="77777777" w:rsidR="003870A0" w:rsidRPr="006F3567" w:rsidRDefault="003870A0" w:rsidP="00165020">
      <w:pPr>
        <w:rPr>
          <w:rFonts w:ascii="Times" w:hAnsi="Times" w:cstheme="minorHAnsi"/>
          <w:color w:val="000000" w:themeColor="text1"/>
        </w:rPr>
      </w:pPr>
    </w:p>
    <w:p w14:paraId="018824A1" w14:textId="728AB1C3" w:rsidR="00165020" w:rsidRPr="006F3567" w:rsidRDefault="00386144" w:rsidP="00165020">
      <w:pPr>
        <w:rPr>
          <w:rFonts w:ascii="Times" w:hAnsi="Times" w:cstheme="minorHAnsi"/>
          <w:color w:val="000000" w:themeColor="text1"/>
        </w:rPr>
      </w:pPr>
      <w:proofErr w:type="spellStart"/>
      <w:r w:rsidRPr="006F3567">
        <w:rPr>
          <w:rFonts w:ascii="Times" w:hAnsi="Times" w:cstheme="minorHAnsi"/>
          <w:color w:val="000000" w:themeColor="text1"/>
        </w:rPr>
        <w:t>Olds</w:t>
      </w:r>
      <w:proofErr w:type="spellEnd"/>
      <w:r w:rsidRPr="006F3567">
        <w:rPr>
          <w:rFonts w:ascii="Times" w:hAnsi="Times" w:cstheme="minorHAnsi"/>
          <w:color w:val="000000" w:themeColor="text1"/>
        </w:rPr>
        <w:t xml:space="preserve">, D., et al., </w:t>
      </w:r>
      <w:r w:rsidRPr="006F3567">
        <w:rPr>
          <w:rFonts w:ascii="Times" w:hAnsi="Times" w:cstheme="minorHAnsi"/>
          <w:i/>
          <w:iCs/>
          <w:color w:val="000000" w:themeColor="text1"/>
        </w:rPr>
        <w:t>A high temperature gas flow environment for neutron total scattering studies of complex materials</w:t>
      </w:r>
      <w:r w:rsidRPr="006F3567">
        <w:rPr>
          <w:rFonts w:ascii="Times" w:hAnsi="Times" w:cstheme="minorHAnsi"/>
          <w:color w:val="000000" w:themeColor="text1"/>
        </w:rPr>
        <w:t xml:space="preserve">, Review of Scientific Instruments, </w:t>
      </w:r>
      <w:r w:rsidRPr="006F3567">
        <w:rPr>
          <w:rFonts w:ascii="Times" w:hAnsi="Times" w:cstheme="minorHAnsi"/>
          <w:b/>
          <w:bCs/>
          <w:color w:val="000000" w:themeColor="text1"/>
        </w:rPr>
        <w:t>89</w:t>
      </w:r>
      <w:r w:rsidR="00112DD8" w:rsidRPr="006F3567">
        <w:rPr>
          <w:rFonts w:ascii="Times" w:hAnsi="Times" w:cstheme="minorHAnsi"/>
          <w:color w:val="000000" w:themeColor="text1"/>
        </w:rPr>
        <w:t>(9)</w:t>
      </w:r>
      <w:r w:rsidRPr="006F3567">
        <w:rPr>
          <w:rFonts w:ascii="Times" w:hAnsi="Times" w:cstheme="minorHAnsi"/>
          <w:b/>
          <w:bCs/>
          <w:color w:val="000000" w:themeColor="text1"/>
        </w:rPr>
        <w:t xml:space="preserve">, </w:t>
      </w:r>
      <w:r w:rsidRPr="006F3567">
        <w:rPr>
          <w:rFonts w:ascii="Times" w:hAnsi="Times" w:cstheme="minorHAnsi"/>
          <w:color w:val="000000" w:themeColor="text1"/>
        </w:rPr>
        <w:t>092906 (2018): DOI: 10.1063/ 1.5033464</w:t>
      </w:r>
    </w:p>
    <w:p w14:paraId="5EF1E3B1" w14:textId="77777777" w:rsidR="00112DD8" w:rsidRPr="006F3567" w:rsidRDefault="00112DD8" w:rsidP="00165020">
      <w:pPr>
        <w:rPr>
          <w:rFonts w:ascii="Times" w:hAnsi="Times" w:cstheme="minorHAnsi"/>
        </w:rPr>
      </w:pPr>
    </w:p>
    <w:p w14:paraId="00B8E7C7" w14:textId="77777777" w:rsidR="00112DD8" w:rsidRPr="006F3567" w:rsidRDefault="00112DD8" w:rsidP="00165020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>White, C</w:t>
      </w:r>
      <w:r w:rsidR="00A91826" w:rsidRPr="006F3567">
        <w:rPr>
          <w:rFonts w:ascii="Times" w:hAnsi="Times" w:cstheme="minorHAnsi"/>
        </w:rPr>
        <w:t>.</w:t>
      </w:r>
      <w:r w:rsidRPr="006F3567">
        <w:rPr>
          <w:rFonts w:ascii="Times" w:hAnsi="Times" w:cstheme="minorHAnsi"/>
        </w:rPr>
        <w:t xml:space="preserve">E., </w:t>
      </w:r>
      <w:r w:rsidR="00F36DEF" w:rsidRPr="006F3567">
        <w:rPr>
          <w:rFonts w:ascii="Times" w:hAnsi="Times" w:cstheme="minorHAnsi"/>
        </w:rPr>
        <w:t xml:space="preserve">et al., </w:t>
      </w:r>
      <w:r w:rsidRPr="006F3567">
        <w:rPr>
          <w:rFonts w:ascii="Times" w:hAnsi="Times" w:cstheme="minorHAnsi"/>
          <w:i/>
          <w:iCs/>
        </w:rPr>
        <w:t xml:space="preserve">A uniaxial load frame for in situ studies of stress-induced changes in cementitious materials and related systems, </w:t>
      </w:r>
      <w:r w:rsidRPr="006F3567">
        <w:rPr>
          <w:rFonts w:ascii="Times" w:hAnsi="Times" w:cstheme="minorHAnsi"/>
        </w:rPr>
        <w:t xml:space="preserve">Review of Scientific Instruments, </w:t>
      </w:r>
      <w:r w:rsidRPr="006F3567">
        <w:rPr>
          <w:rFonts w:ascii="Times" w:hAnsi="Times" w:cstheme="minorHAnsi"/>
          <w:b/>
          <w:bCs/>
        </w:rPr>
        <w:t>89</w:t>
      </w:r>
      <w:r w:rsidRPr="006F3567">
        <w:rPr>
          <w:rFonts w:ascii="Times" w:hAnsi="Times" w:cstheme="minorHAnsi"/>
        </w:rPr>
        <w:t>(9), 092903 (2018): DOI:10.1063/1.5033905</w:t>
      </w:r>
    </w:p>
    <w:p w14:paraId="50A08081" w14:textId="77777777" w:rsidR="00F36DEF" w:rsidRPr="006F3567" w:rsidRDefault="00F36DEF" w:rsidP="00165020">
      <w:pPr>
        <w:rPr>
          <w:rFonts w:ascii="Times" w:hAnsi="Times" w:cstheme="minorHAnsi"/>
        </w:rPr>
      </w:pPr>
    </w:p>
    <w:p w14:paraId="386EAC15" w14:textId="38A1A5C3" w:rsidR="00112DD8" w:rsidRPr="006F3567" w:rsidRDefault="00F36DEF" w:rsidP="00165020">
      <w:pPr>
        <w:rPr>
          <w:rFonts w:ascii="Times" w:hAnsi="Times" w:cstheme="minorHAnsi"/>
          <w:color w:val="000000"/>
        </w:rPr>
      </w:pPr>
      <w:proofErr w:type="spellStart"/>
      <w:r w:rsidRPr="006F3567">
        <w:rPr>
          <w:rFonts w:ascii="Times" w:hAnsi="Times" w:cstheme="minorHAnsi"/>
        </w:rPr>
        <w:t>Cladek</w:t>
      </w:r>
      <w:proofErr w:type="spellEnd"/>
      <w:r w:rsidRPr="006F3567">
        <w:rPr>
          <w:rFonts w:ascii="Times" w:hAnsi="Times" w:cstheme="minorHAnsi"/>
        </w:rPr>
        <w:t>, B.</w:t>
      </w:r>
      <w:r w:rsidR="00C122B7" w:rsidRPr="006F3567">
        <w:rPr>
          <w:rFonts w:ascii="Times" w:hAnsi="Times" w:cstheme="minorHAnsi"/>
        </w:rPr>
        <w:t>R.</w:t>
      </w:r>
      <w:r w:rsidRPr="006F3567">
        <w:rPr>
          <w:rFonts w:ascii="Times" w:hAnsi="Times" w:cstheme="minorHAnsi"/>
        </w:rPr>
        <w:t xml:space="preserve">, et al., </w:t>
      </w:r>
      <w:r w:rsidRPr="006F3567">
        <w:rPr>
          <w:rFonts w:ascii="Times" w:hAnsi="Times" w:cstheme="minorHAnsi"/>
          <w:i/>
          <w:iCs/>
        </w:rPr>
        <w:t>Guest-Host Interactions in Mixed CH4/CO2 Hydrates: Insights from Molecular Dynamics Simulations</w:t>
      </w:r>
      <w:r w:rsidRPr="006F3567">
        <w:rPr>
          <w:rFonts w:ascii="Times" w:hAnsi="Times" w:cstheme="minorHAnsi"/>
        </w:rPr>
        <w:t xml:space="preserve">, </w:t>
      </w:r>
      <w:r w:rsidRPr="006F3567">
        <w:rPr>
          <w:rFonts w:ascii="Times" w:hAnsi="Times" w:cstheme="minorHAnsi"/>
          <w:color w:val="000000"/>
        </w:rPr>
        <w:t>J. Phys. Chem. C,</w:t>
      </w:r>
      <w:r w:rsidR="00C52EEB" w:rsidRPr="006F3567">
        <w:rPr>
          <w:rFonts w:ascii="Times" w:hAnsi="Times" w:cstheme="minorHAnsi"/>
          <w:color w:val="000000"/>
        </w:rPr>
        <w:t xml:space="preserve"> </w:t>
      </w:r>
      <w:r w:rsidRPr="006F3567">
        <w:rPr>
          <w:rFonts w:ascii="Times" w:hAnsi="Times" w:cstheme="minorHAnsi"/>
          <w:b/>
          <w:bCs/>
          <w:color w:val="000000"/>
        </w:rPr>
        <w:t>122</w:t>
      </w:r>
      <w:r w:rsidRPr="006F3567">
        <w:rPr>
          <w:rFonts w:ascii="Times" w:hAnsi="Times" w:cstheme="minorHAnsi"/>
          <w:color w:val="000000"/>
        </w:rPr>
        <w:t>(34) p. 19575-83 (2018) DOI: 10.1021/</w:t>
      </w:r>
      <w:proofErr w:type="spellStart"/>
      <w:r w:rsidRPr="006F3567">
        <w:rPr>
          <w:rFonts w:ascii="Times" w:hAnsi="Times" w:cstheme="minorHAnsi"/>
          <w:color w:val="000000"/>
        </w:rPr>
        <w:t>acs</w:t>
      </w:r>
      <w:proofErr w:type="spellEnd"/>
      <w:r w:rsidRPr="006F3567">
        <w:rPr>
          <w:rFonts w:ascii="Times" w:hAnsi="Times" w:cstheme="minorHAnsi"/>
          <w:color w:val="000000"/>
        </w:rPr>
        <w:t xml:space="preserve">. </w:t>
      </w:r>
      <w:proofErr w:type="spellStart"/>
      <w:r w:rsidRPr="006F3567">
        <w:rPr>
          <w:rFonts w:ascii="Times" w:hAnsi="Times" w:cstheme="minorHAnsi"/>
          <w:color w:val="000000"/>
        </w:rPr>
        <w:t>jpcc</w:t>
      </w:r>
      <w:proofErr w:type="spellEnd"/>
      <w:r w:rsidRPr="006F3567">
        <w:rPr>
          <w:rFonts w:ascii="Times" w:hAnsi="Times" w:cstheme="minorHAnsi"/>
          <w:color w:val="000000"/>
        </w:rPr>
        <w:t>. 8b05228</w:t>
      </w:r>
    </w:p>
    <w:p w14:paraId="08CC710E" w14:textId="77777777" w:rsidR="00F36DEF" w:rsidRPr="006F3567" w:rsidRDefault="00F36DEF" w:rsidP="00165020">
      <w:pPr>
        <w:rPr>
          <w:rFonts w:ascii="Times" w:hAnsi="Times" w:cstheme="minorHAnsi"/>
          <w:color w:val="000000"/>
        </w:rPr>
      </w:pPr>
    </w:p>
    <w:p w14:paraId="2619EE3E" w14:textId="77777777" w:rsidR="00A91826" w:rsidRPr="006F3567" w:rsidRDefault="00F36DEF" w:rsidP="00A91826">
      <w:pPr>
        <w:rPr>
          <w:rFonts w:ascii="Times" w:hAnsi="Times" w:cstheme="minorHAnsi"/>
        </w:rPr>
      </w:pPr>
      <w:proofErr w:type="spellStart"/>
      <w:r w:rsidRPr="006F3567">
        <w:rPr>
          <w:rFonts w:ascii="Times" w:hAnsi="Times" w:cstheme="minorHAnsi"/>
        </w:rPr>
        <w:t>Anastasopoulos</w:t>
      </w:r>
      <w:proofErr w:type="spellEnd"/>
      <w:r w:rsidRPr="006F3567">
        <w:rPr>
          <w:rFonts w:ascii="Times" w:hAnsi="Times" w:cstheme="minorHAnsi"/>
        </w:rPr>
        <w:t xml:space="preserve">, M., et al., </w:t>
      </w:r>
      <w:r w:rsidRPr="006F3567">
        <w:rPr>
          <w:rFonts w:ascii="Times" w:hAnsi="Times" w:cstheme="minorHAnsi"/>
          <w:i/>
          <w:iCs/>
        </w:rPr>
        <w:t>Multi-Grid detector for neutron spectroscopy: results obtained on time-of-flight spectrometer CNCS</w:t>
      </w:r>
      <w:r w:rsidRPr="006F3567">
        <w:rPr>
          <w:rFonts w:ascii="Times" w:hAnsi="Times" w:cstheme="minorHAnsi"/>
        </w:rPr>
        <w:t xml:space="preserve">, Journal of Instrumentation, </w:t>
      </w:r>
      <w:r w:rsidR="00A91826" w:rsidRPr="006F3567">
        <w:rPr>
          <w:rFonts w:ascii="Times" w:hAnsi="Times" w:cstheme="minorHAnsi"/>
          <w:b/>
          <w:bCs/>
        </w:rPr>
        <w:t>12</w:t>
      </w:r>
      <w:r w:rsidR="00A91826" w:rsidRPr="006F3567">
        <w:rPr>
          <w:rFonts w:ascii="Times" w:hAnsi="Times" w:cstheme="minorHAnsi"/>
        </w:rPr>
        <w:t>, P04030 (2017): DOI: 10.1088/1748-0221/12/04/P04030</w:t>
      </w:r>
    </w:p>
    <w:p w14:paraId="4BD5974A" w14:textId="77777777" w:rsidR="00A91826" w:rsidRPr="006F3567" w:rsidRDefault="00A91826" w:rsidP="00A91826">
      <w:pPr>
        <w:rPr>
          <w:rFonts w:ascii="Times" w:hAnsi="Times" w:cstheme="minorHAnsi"/>
        </w:rPr>
      </w:pPr>
    </w:p>
    <w:p w14:paraId="5C19D8C2" w14:textId="77777777" w:rsidR="00A91826" w:rsidRPr="006F3567" w:rsidRDefault="00A91826" w:rsidP="00A91826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lastRenderedPageBreak/>
        <w:t xml:space="preserve">Everett, S.M., et al., </w:t>
      </w:r>
      <w:r w:rsidRPr="006F3567">
        <w:rPr>
          <w:rFonts w:ascii="Times" w:hAnsi="Times" w:cstheme="minorHAnsi"/>
          <w:i/>
          <w:iCs/>
        </w:rPr>
        <w:t>Insights into the structure of mixed CO2/CH4 in gas hydrates</w:t>
      </w:r>
      <w:r w:rsidRPr="006F3567">
        <w:rPr>
          <w:rFonts w:ascii="Times" w:hAnsi="Times" w:cstheme="minorHAnsi"/>
        </w:rPr>
        <w:t xml:space="preserve">, American Mineralogy, </w:t>
      </w:r>
      <w:r w:rsidRPr="006F3567">
        <w:rPr>
          <w:rFonts w:ascii="Times" w:hAnsi="Times" w:cstheme="minorHAnsi"/>
          <w:b/>
          <w:bCs/>
        </w:rPr>
        <w:t>100</w:t>
      </w:r>
      <w:r w:rsidRPr="006F3567">
        <w:rPr>
          <w:rFonts w:ascii="Times" w:hAnsi="Times" w:cstheme="minorHAnsi"/>
        </w:rPr>
        <w:t>(5-6), p. 1203-08 (2015): DOI:10.2138/am-2015-4929</w:t>
      </w:r>
    </w:p>
    <w:p w14:paraId="669D7360" w14:textId="77777777" w:rsidR="00A91826" w:rsidRPr="006F3567" w:rsidRDefault="00A91826" w:rsidP="00A91826">
      <w:pPr>
        <w:rPr>
          <w:rFonts w:ascii="Times" w:hAnsi="Times" w:cstheme="minorHAnsi"/>
        </w:rPr>
      </w:pPr>
    </w:p>
    <w:p w14:paraId="41600F1A" w14:textId="77777777" w:rsidR="00C52EEB" w:rsidRPr="006F3567" w:rsidRDefault="00A91826" w:rsidP="00C52EEB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 xml:space="preserve">Everett, S.M., et al., </w:t>
      </w:r>
      <w:r w:rsidRPr="006F3567">
        <w:rPr>
          <w:rFonts w:ascii="Times" w:hAnsi="Times" w:cstheme="minorHAnsi"/>
          <w:i/>
          <w:iCs/>
        </w:rPr>
        <w:t>Kinetics of Methane Hydrate Decomposition Studied via in situ Low Temperature X-ray Powder Diffraction</w:t>
      </w:r>
      <w:r w:rsidR="00C52EEB" w:rsidRPr="006F3567">
        <w:rPr>
          <w:rFonts w:ascii="Times" w:hAnsi="Times" w:cstheme="minorHAnsi"/>
        </w:rPr>
        <w:t xml:space="preserve">, J. Phys Chem A, </w:t>
      </w:r>
      <w:r w:rsidR="00C52EEB" w:rsidRPr="006F3567">
        <w:rPr>
          <w:rFonts w:ascii="Times" w:hAnsi="Times" w:cstheme="minorHAnsi"/>
          <w:b/>
          <w:bCs/>
        </w:rPr>
        <w:t>117</w:t>
      </w:r>
      <w:r w:rsidR="00C52EEB" w:rsidRPr="006F3567">
        <w:rPr>
          <w:rFonts w:ascii="Times" w:hAnsi="Times" w:cstheme="minorHAnsi"/>
        </w:rPr>
        <w:t>(17), p. 3593-98 (2013): DOI: 10.1021/jp4020178</w:t>
      </w:r>
    </w:p>
    <w:p w14:paraId="1D30417F" w14:textId="77777777" w:rsidR="00C52EEB" w:rsidRPr="006F3567" w:rsidRDefault="00C52EEB" w:rsidP="00C52EEB">
      <w:pPr>
        <w:rPr>
          <w:rFonts w:ascii="Times" w:hAnsi="Times" w:cstheme="minorHAnsi"/>
        </w:rPr>
      </w:pPr>
    </w:p>
    <w:p w14:paraId="5F4D71F0" w14:textId="77777777" w:rsidR="00C52EEB" w:rsidRPr="006F3567" w:rsidRDefault="00C52EEB" w:rsidP="00C52EEB">
      <w:pPr>
        <w:rPr>
          <w:rFonts w:ascii="Times" w:hAnsi="Times" w:cstheme="minorHAnsi"/>
        </w:rPr>
      </w:pPr>
      <w:r w:rsidRPr="006F3567">
        <w:rPr>
          <w:rFonts w:ascii="Times" w:hAnsi="Times" w:cstheme="minorHAnsi"/>
        </w:rPr>
        <w:t xml:space="preserve">Moon, J.W., et al., </w:t>
      </w:r>
      <w:r w:rsidRPr="006F3567">
        <w:rPr>
          <w:rFonts w:ascii="Times" w:hAnsi="Times" w:cstheme="minorHAnsi"/>
          <w:i/>
          <w:iCs/>
        </w:rPr>
        <w:t>Large-scale production of magnetic nanoparticles using bacterial fermentation</w:t>
      </w:r>
      <w:r w:rsidRPr="006F3567">
        <w:rPr>
          <w:rFonts w:ascii="Times" w:hAnsi="Times" w:cstheme="minorHAnsi"/>
        </w:rPr>
        <w:t xml:space="preserve">, Journal of Industrial Microbiology &amp; Biotechnology, </w:t>
      </w:r>
      <w:r w:rsidRPr="006F3567">
        <w:rPr>
          <w:rFonts w:ascii="Times" w:hAnsi="Times" w:cstheme="minorHAnsi"/>
          <w:b/>
          <w:bCs/>
        </w:rPr>
        <w:t>37</w:t>
      </w:r>
      <w:r w:rsidRPr="006F3567">
        <w:rPr>
          <w:rFonts w:ascii="Times" w:hAnsi="Times" w:cstheme="minorHAnsi"/>
        </w:rPr>
        <w:t>(10), p. 1023-31 (2010): DOI: 1</w:t>
      </w:r>
      <w:r w:rsidRPr="006F3567">
        <w:rPr>
          <w:rFonts w:ascii="Times" w:hAnsi="Times" w:cstheme="minorHAnsi"/>
          <w:color w:val="2A2D35"/>
          <w:shd w:val="clear" w:color="auto" w:fill="F8F8F8"/>
        </w:rPr>
        <w:t>0.1007/s10295-010-0749-y</w:t>
      </w:r>
    </w:p>
    <w:sectPr w:rsidR="00C52EEB" w:rsidRPr="006F3567" w:rsidSect="00F86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CB8"/>
    <w:multiLevelType w:val="hybridMultilevel"/>
    <w:tmpl w:val="4A6C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259B"/>
    <w:multiLevelType w:val="hybridMultilevel"/>
    <w:tmpl w:val="D906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410D"/>
    <w:multiLevelType w:val="hybridMultilevel"/>
    <w:tmpl w:val="B54C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20"/>
    <w:rsid w:val="00112DD8"/>
    <w:rsid w:val="0014676C"/>
    <w:rsid w:val="00165020"/>
    <w:rsid w:val="001A73A3"/>
    <w:rsid w:val="00261D4F"/>
    <w:rsid w:val="002B08DD"/>
    <w:rsid w:val="00301327"/>
    <w:rsid w:val="00386144"/>
    <w:rsid w:val="003870A0"/>
    <w:rsid w:val="003D5A97"/>
    <w:rsid w:val="004A19C4"/>
    <w:rsid w:val="005F2374"/>
    <w:rsid w:val="006F3567"/>
    <w:rsid w:val="008457F2"/>
    <w:rsid w:val="00A91826"/>
    <w:rsid w:val="00BC1873"/>
    <w:rsid w:val="00BC4DF6"/>
    <w:rsid w:val="00C122B7"/>
    <w:rsid w:val="00C31BE5"/>
    <w:rsid w:val="00C52EEB"/>
    <w:rsid w:val="00D44A71"/>
    <w:rsid w:val="00E34FF7"/>
    <w:rsid w:val="00EF3385"/>
    <w:rsid w:val="00F36DEF"/>
    <w:rsid w:val="00F861B9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D831"/>
  <w15:chartTrackingRefBased/>
  <w15:docId w15:val="{412ED013-E5E1-3049-B72E-9DE1DDD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12D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020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2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FF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861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144"/>
    <w:rPr>
      <w:color w:val="605E5C"/>
      <w:shd w:val="clear" w:color="auto" w:fill="E1DFDD"/>
    </w:rPr>
  </w:style>
  <w:style w:type="paragraph" w:customStyle="1" w:styleId="frfield">
    <w:name w:val="fr_field"/>
    <w:basedOn w:val="Normal"/>
    <w:rsid w:val="00112DD8"/>
    <w:pPr>
      <w:spacing w:before="100" w:beforeAutospacing="1" w:after="100" w:afterAutospacing="1"/>
    </w:pPr>
  </w:style>
  <w:style w:type="character" w:customStyle="1" w:styleId="frlabel">
    <w:name w:val="fr_label"/>
    <w:basedOn w:val="DefaultParagraphFont"/>
    <w:rsid w:val="00112DD8"/>
  </w:style>
  <w:style w:type="paragraph" w:styleId="NormalWeb">
    <w:name w:val="Normal (Web)"/>
    <w:basedOn w:val="Normal"/>
    <w:uiPriority w:val="99"/>
    <w:unhideWhenUsed/>
    <w:rsid w:val="00112DD8"/>
    <w:pPr>
      <w:spacing w:before="100" w:beforeAutospacing="1" w:after="100" w:afterAutospacing="1"/>
    </w:pPr>
  </w:style>
  <w:style w:type="character" w:customStyle="1" w:styleId="sourcetitle">
    <w:name w:val="sourcetitle"/>
    <w:basedOn w:val="DefaultParagraphFont"/>
    <w:rsid w:val="00112DD8"/>
  </w:style>
  <w:style w:type="character" w:customStyle="1" w:styleId="Heading1Char">
    <w:name w:val="Heading 1 Char"/>
    <w:basedOn w:val="DefaultParagraphFont"/>
    <w:link w:val="Heading1"/>
    <w:uiPriority w:val="9"/>
    <w:rsid w:val="00112D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683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3153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90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Michelle S.</dc:creator>
  <cp:keywords/>
  <dc:description/>
  <cp:lastModifiedBy>Everett, Michelle S.</cp:lastModifiedBy>
  <cp:revision>2</cp:revision>
  <dcterms:created xsi:type="dcterms:W3CDTF">2019-06-20T11:46:00Z</dcterms:created>
  <dcterms:modified xsi:type="dcterms:W3CDTF">2020-10-22T16:00:00Z</dcterms:modified>
</cp:coreProperties>
</file>