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3E7B" w14:textId="1B0140ED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</w:t>
      </w:r>
      <w:r w:rsidR="009F043F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Robert Nettles</w:t>
      </w:r>
      <w:bookmarkStart w:id="0" w:name="_GoBack"/>
      <w:bookmarkEnd w:id="0"/>
    </w:p>
    <w:p w14:paraId="6F3DC920" w14:textId="048565CC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SPRUCE Project </w:t>
      </w:r>
      <w:r w:rsidR="009F043F">
        <w:rPr>
          <w:color w:val="auto"/>
          <w:sz w:val="22"/>
          <w:szCs w:val="22"/>
        </w:rPr>
        <w:t>Operations Manager</w:t>
      </w:r>
    </w:p>
    <w:p w14:paraId="3059C5AA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color w:val="auto"/>
          <w:sz w:val="22"/>
          <w:szCs w:val="22"/>
        </w:rPr>
        <w:t xml:space="preserve">Oak Ridge National Laboratory, Environmental Sciences Division </w:t>
      </w:r>
    </w:p>
    <w:p w14:paraId="7F00DA1A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color w:val="auto"/>
          <w:sz w:val="22"/>
          <w:szCs w:val="22"/>
        </w:rPr>
        <w:t>Phone: (</w:t>
      </w:r>
      <w:r>
        <w:rPr>
          <w:color w:val="auto"/>
          <w:sz w:val="22"/>
          <w:szCs w:val="22"/>
        </w:rPr>
        <w:t>218</w:t>
      </w:r>
      <w:r w:rsidRPr="00506170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999-9469</w:t>
      </w:r>
    </w:p>
    <w:p w14:paraId="5EBC255C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t>nettleswr@ornl.gov</w:t>
      </w:r>
    </w:p>
    <w:p w14:paraId="72F21575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</w:p>
    <w:p w14:paraId="4C2E1DF1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b/>
          <w:bCs/>
          <w:color w:val="auto"/>
          <w:sz w:val="22"/>
          <w:szCs w:val="22"/>
        </w:rPr>
        <w:t>Education and Training</w:t>
      </w:r>
    </w:p>
    <w:tbl>
      <w:tblPr>
        <w:tblW w:w="8887" w:type="dxa"/>
        <w:tblLook w:val="00A0" w:firstRow="1" w:lastRow="0" w:firstColumn="1" w:lastColumn="0" w:noHBand="0" w:noVBand="0"/>
      </w:tblPr>
      <w:tblGrid>
        <w:gridCol w:w="1474"/>
        <w:gridCol w:w="7413"/>
      </w:tblGrid>
      <w:tr w:rsidR="004C0F61" w:rsidRPr="00506170" w14:paraId="658D8FF6" w14:textId="77777777" w:rsidTr="00B067F5">
        <w:trPr>
          <w:trHeight w:val="2794"/>
        </w:trPr>
        <w:tc>
          <w:tcPr>
            <w:tcW w:w="1474" w:type="dxa"/>
          </w:tcPr>
          <w:p w14:paraId="4B57F3CA" w14:textId="7BAA8D67" w:rsidR="009F043F" w:rsidRDefault="009F043F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2015</w:t>
            </w:r>
          </w:p>
          <w:p w14:paraId="40BFBBE5" w14:textId="0C9F038D" w:rsidR="00AE0CCB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2001</w:t>
            </w:r>
          </w:p>
          <w:p w14:paraId="16981816" w14:textId="77777777" w:rsidR="00AE0CCB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1999</w:t>
            </w:r>
          </w:p>
          <w:p w14:paraId="2183325C" w14:textId="6A7373E7" w:rsidR="00D71334" w:rsidRDefault="00D71334" w:rsidP="00AE0CC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BF4F1D0" w14:textId="16CF1C5E" w:rsidR="00D71334" w:rsidRDefault="00D71334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2015</w:t>
            </w:r>
          </w:p>
          <w:p w14:paraId="3F4A2400" w14:textId="77777777" w:rsidR="0081599E" w:rsidRDefault="0081599E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</w:t>
            </w:r>
          </w:p>
          <w:p w14:paraId="1A53D87D" w14:textId="77777777" w:rsidR="002910C9" w:rsidRDefault="0081599E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</w:t>
            </w:r>
          </w:p>
          <w:p w14:paraId="1DA4E7A3" w14:textId="77777777" w:rsidR="00AE0CCB" w:rsidRDefault="00AE0CCB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2013</w:t>
            </w:r>
          </w:p>
          <w:p w14:paraId="5A5722D8" w14:textId="77777777" w:rsidR="0081599E" w:rsidRDefault="0081599E" w:rsidP="008159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</w:t>
            </w:r>
          </w:p>
          <w:p w14:paraId="5BE08F02" w14:textId="77777777" w:rsidR="00AE0CCB" w:rsidRDefault="00AE0CCB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2013</w:t>
            </w:r>
          </w:p>
          <w:p w14:paraId="50DB3810" w14:textId="77777777" w:rsidR="00AE0CCB" w:rsidRDefault="00AE0CCB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2013</w:t>
            </w:r>
          </w:p>
          <w:p w14:paraId="05028CB7" w14:textId="77777777" w:rsidR="004C0F61" w:rsidRPr="00506170" w:rsidRDefault="004C0F61" w:rsidP="00AE0CC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</w:tcPr>
          <w:p w14:paraId="46216F9C" w14:textId="22F602D0" w:rsidR="009F043F" w:rsidRDefault="009F043F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Project Management Professional (PMP), Project Management Institute</w:t>
            </w:r>
          </w:p>
          <w:p w14:paraId="334485F6" w14:textId="083075BC" w:rsidR="00AE0CCB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Mississippi State University, College of Forest Resources, MS</w:t>
            </w:r>
          </w:p>
          <w:p w14:paraId="66D3EC42" w14:textId="77777777" w:rsidR="00AE0CCB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Mississippi State University, College of Forest Resources</w:t>
            </w:r>
            <w:r w:rsidRPr="00506170">
              <w:rPr>
                <w:color w:val="auto"/>
                <w:sz w:val="22"/>
                <w:szCs w:val="22"/>
              </w:rPr>
              <w:t>, B</w:t>
            </w:r>
            <w:r>
              <w:rPr>
                <w:color w:val="auto"/>
                <w:sz w:val="22"/>
                <w:szCs w:val="22"/>
              </w:rPr>
              <w:t>S</w:t>
            </w:r>
          </w:p>
          <w:p w14:paraId="6B1B7B29" w14:textId="77777777" w:rsidR="002910C9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EED75DB" w14:textId="227FF268" w:rsidR="00D71334" w:rsidRDefault="00D71334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Project Management Fundamentals (ORNL/New Horizons)</w:t>
            </w:r>
          </w:p>
          <w:p w14:paraId="1850D646" w14:textId="77777777" w:rsidR="0081599E" w:rsidRDefault="0081599E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Campbell Scientific Integrator Certification</w:t>
            </w:r>
          </w:p>
          <w:p w14:paraId="7038F100" w14:textId="77777777" w:rsidR="0081599E" w:rsidRDefault="0081599E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NATE Certified Competent Tower Climber</w:t>
            </w:r>
          </w:p>
          <w:p w14:paraId="53828855" w14:textId="77777777" w:rsidR="002910C9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Campbell Scientific CR1000 Certified</w:t>
            </w:r>
          </w:p>
          <w:p w14:paraId="51B4FE1E" w14:textId="77777777" w:rsidR="0081599E" w:rsidRDefault="0081599E" w:rsidP="00AE0CC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eHazard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Electrical Workplace Safety Certified </w:t>
            </w:r>
          </w:p>
          <w:p w14:paraId="2785AB8D" w14:textId="77777777" w:rsidR="00AE0CCB" w:rsidRDefault="00AE0CCB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NFPA 70E Electrical Workplace Safety Certified</w:t>
            </w:r>
          </w:p>
          <w:p w14:paraId="4E131437" w14:textId="77777777" w:rsidR="00AE0CCB" w:rsidRDefault="00AE0CCB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USFS S212-Wildland Fire Power Saw Certified</w:t>
            </w:r>
          </w:p>
          <w:p w14:paraId="4CFB7392" w14:textId="77777777" w:rsidR="00AE0CCB" w:rsidRPr="00506170" w:rsidRDefault="00AE0CCB" w:rsidP="008159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C0F61" w:rsidRPr="00506170" w14:paraId="63E6731D" w14:textId="77777777" w:rsidTr="00B067F5">
        <w:trPr>
          <w:trHeight w:val="229"/>
        </w:trPr>
        <w:tc>
          <w:tcPr>
            <w:tcW w:w="1474" w:type="dxa"/>
          </w:tcPr>
          <w:p w14:paraId="02D8CE1A" w14:textId="77777777" w:rsidR="004C0F61" w:rsidRPr="00506170" w:rsidRDefault="004C0F61" w:rsidP="004C0F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</w:tcPr>
          <w:p w14:paraId="526766FA" w14:textId="77777777" w:rsidR="004C0F61" w:rsidRPr="00506170" w:rsidRDefault="004C0F61" w:rsidP="004C0F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1ADB1EC4" w14:textId="77777777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b/>
          <w:bCs/>
          <w:color w:val="auto"/>
          <w:sz w:val="22"/>
          <w:szCs w:val="22"/>
        </w:rPr>
        <w:t>Research and Professional Experience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98"/>
        <w:gridCol w:w="7358"/>
      </w:tblGrid>
      <w:tr w:rsidR="004C0F61" w:rsidRPr="00506170" w14:paraId="67276FA7" w14:textId="77777777" w:rsidTr="00AE0CCB">
        <w:tc>
          <w:tcPr>
            <w:tcW w:w="1638" w:type="dxa"/>
          </w:tcPr>
          <w:p w14:paraId="63380903" w14:textId="77777777" w:rsidR="004C0F61" w:rsidRPr="00506170" w:rsidRDefault="002910C9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2012-Present</w:t>
            </w:r>
          </w:p>
        </w:tc>
        <w:tc>
          <w:tcPr>
            <w:tcW w:w="8651" w:type="dxa"/>
          </w:tcPr>
          <w:p w14:paraId="77BEA0B0" w14:textId="019B94FC" w:rsidR="004C0F61" w:rsidRPr="00506170" w:rsidRDefault="002910C9" w:rsidP="00375C3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SPRUCE Project </w:t>
            </w:r>
            <w:r w:rsidR="00375C3D">
              <w:rPr>
                <w:color w:val="auto"/>
                <w:sz w:val="22"/>
                <w:szCs w:val="22"/>
              </w:rPr>
              <w:t>Operations Manager</w:t>
            </w:r>
            <w:r>
              <w:rPr>
                <w:color w:val="auto"/>
                <w:sz w:val="22"/>
                <w:szCs w:val="22"/>
              </w:rPr>
              <w:t>, Oak Ridge National Laboratory</w:t>
            </w:r>
          </w:p>
        </w:tc>
      </w:tr>
      <w:tr w:rsidR="004C0F61" w:rsidRPr="00506170" w14:paraId="1C6C59BD" w14:textId="77777777" w:rsidTr="00AE0CCB">
        <w:tc>
          <w:tcPr>
            <w:tcW w:w="1638" w:type="dxa"/>
          </w:tcPr>
          <w:p w14:paraId="6EF35346" w14:textId="77777777" w:rsidR="004C0F61" w:rsidRPr="00506170" w:rsidRDefault="0059462C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2005-2012</w:t>
            </w:r>
          </w:p>
        </w:tc>
        <w:tc>
          <w:tcPr>
            <w:tcW w:w="8651" w:type="dxa"/>
          </w:tcPr>
          <w:p w14:paraId="07CE9D11" w14:textId="5DA85EB5" w:rsidR="004C0F61" w:rsidRPr="00506170" w:rsidRDefault="0059462C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Sciences Associate III</w:t>
            </w:r>
            <w:r w:rsidR="009F043F">
              <w:rPr>
                <w:color w:val="auto"/>
                <w:sz w:val="22"/>
                <w:szCs w:val="22"/>
              </w:rPr>
              <w:t xml:space="preserve"> (FACE Experiment Operations Manager)</w:t>
            </w:r>
            <w:r>
              <w:rPr>
                <w:color w:val="auto"/>
                <w:sz w:val="22"/>
                <w:szCs w:val="22"/>
              </w:rPr>
              <w:t xml:space="preserve">, Brookhaven National Laboratory </w:t>
            </w:r>
          </w:p>
        </w:tc>
      </w:tr>
      <w:tr w:rsidR="004C0F61" w:rsidRPr="00506170" w14:paraId="22A98D18" w14:textId="77777777" w:rsidTr="00AE0CCB">
        <w:tc>
          <w:tcPr>
            <w:tcW w:w="1638" w:type="dxa"/>
          </w:tcPr>
          <w:p w14:paraId="03BB62DC" w14:textId="77777777" w:rsidR="004C0F61" w:rsidRPr="00506170" w:rsidRDefault="0059462C" w:rsidP="00AE0CC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2002-2005</w:t>
            </w:r>
          </w:p>
        </w:tc>
        <w:tc>
          <w:tcPr>
            <w:tcW w:w="8651" w:type="dxa"/>
          </w:tcPr>
          <w:p w14:paraId="46CC3211" w14:textId="4B2E9607" w:rsidR="004C0F61" w:rsidRPr="00506170" w:rsidRDefault="0059462C" w:rsidP="00AE0CCB">
            <w:pPr>
              <w:pStyle w:val="listindent2"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Environmental Research Technician, Duke University / Princeton University  </w:t>
            </w:r>
          </w:p>
        </w:tc>
      </w:tr>
    </w:tbl>
    <w:p w14:paraId="3817822C" w14:textId="77777777" w:rsidR="00845EC2" w:rsidRDefault="00845EC2" w:rsidP="004C0F61">
      <w:pPr>
        <w:pStyle w:val="Default"/>
        <w:rPr>
          <w:color w:val="auto"/>
          <w:sz w:val="22"/>
          <w:szCs w:val="22"/>
        </w:rPr>
      </w:pPr>
    </w:p>
    <w:p w14:paraId="768B7247" w14:textId="5C834535" w:rsidR="004C0F61" w:rsidRPr="00506170" w:rsidRDefault="004C0F61" w:rsidP="004C0F61">
      <w:pPr>
        <w:pStyle w:val="Default"/>
        <w:rPr>
          <w:color w:val="auto"/>
          <w:sz w:val="22"/>
          <w:szCs w:val="22"/>
        </w:rPr>
      </w:pPr>
      <w:r w:rsidRPr="00506170">
        <w:rPr>
          <w:b/>
          <w:bCs/>
          <w:color w:val="auto"/>
          <w:sz w:val="22"/>
          <w:szCs w:val="22"/>
        </w:rPr>
        <w:t>Publications</w:t>
      </w:r>
      <w:r w:rsidR="009F043F">
        <w:rPr>
          <w:b/>
          <w:bCs/>
          <w:color w:val="auto"/>
          <w:sz w:val="22"/>
          <w:szCs w:val="22"/>
        </w:rPr>
        <w:t xml:space="preserve"> and Data Sets</w:t>
      </w:r>
    </w:p>
    <w:p w14:paraId="29FC65CF" w14:textId="77777777" w:rsidR="00B067F5" w:rsidRDefault="007868B6" w:rsidP="00B067F5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2"/>
          <w:szCs w:val="22"/>
          <w:lang w:val="en"/>
        </w:rPr>
      </w:pPr>
      <w:r>
        <w:rPr>
          <w:sz w:val="22"/>
          <w:szCs w:val="22"/>
        </w:rPr>
        <w:t xml:space="preserve"> 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L</w:t>
      </w:r>
      <w:r>
        <w:rPr>
          <w:rFonts w:ascii="Times New Roman" w:hAnsi="Times New Roman" w:cs="Times New Roman"/>
          <w:sz w:val="22"/>
          <w:szCs w:val="22"/>
          <w:lang w:val="en"/>
        </w:rPr>
        <w:t>ewin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"/>
        </w:rPr>
        <w:t>KF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 N</w:t>
      </w:r>
      <w:r>
        <w:rPr>
          <w:rFonts w:ascii="Times New Roman" w:hAnsi="Times New Roman" w:cs="Times New Roman"/>
          <w:sz w:val="22"/>
          <w:szCs w:val="22"/>
          <w:lang w:val="en"/>
        </w:rPr>
        <w:t>agy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, J, R</w:t>
      </w:r>
      <w:r>
        <w:rPr>
          <w:rFonts w:ascii="Times New Roman" w:hAnsi="Times New Roman" w:cs="Times New Roman"/>
          <w:sz w:val="22"/>
          <w:szCs w:val="22"/>
          <w:lang w:val="en"/>
        </w:rPr>
        <w:t>obert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 N</w:t>
      </w:r>
      <w:r>
        <w:rPr>
          <w:rFonts w:ascii="Times New Roman" w:hAnsi="Times New Roman" w:cs="Times New Roman"/>
          <w:sz w:val="22"/>
          <w:szCs w:val="22"/>
          <w:lang w:val="en"/>
        </w:rPr>
        <w:t>ettles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"/>
        </w:rPr>
        <w:t>WR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, C</w:t>
      </w:r>
      <w:r>
        <w:rPr>
          <w:rFonts w:ascii="Times New Roman" w:hAnsi="Times New Roman" w:cs="Times New Roman"/>
          <w:sz w:val="22"/>
          <w:szCs w:val="22"/>
          <w:lang w:val="en"/>
        </w:rPr>
        <w:t>ooley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, D</w:t>
      </w:r>
      <w:r>
        <w:rPr>
          <w:rFonts w:ascii="Times New Roman" w:hAnsi="Times New Roman" w:cs="Times New Roman"/>
          <w:sz w:val="22"/>
          <w:szCs w:val="22"/>
          <w:lang w:val="en"/>
        </w:rPr>
        <w:t>M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 and R</w:t>
      </w:r>
      <w:r>
        <w:rPr>
          <w:rFonts w:ascii="Times New Roman" w:hAnsi="Times New Roman" w:cs="Times New Roman"/>
          <w:sz w:val="22"/>
          <w:szCs w:val="22"/>
          <w:lang w:val="en"/>
        </w:rPr>
        <w:t>ogers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, A (2009), Comparison of gas use efficiency and treatment uniformity in a forest ecosystem exposed to elevated [CO</w:t>
      </w:r>
      <w:r w:rsidR="006E56C4" w:rsidRPr="007868B6">
        <w:rPr>
          <w:rFonts w:ascii="Times New Roman" w:hAnsi="Times New Roman" w:cs="Times New Roman"/>
          <w:sz w:val="22"/>
          <w:szCs w:val="22"/>
          <w:vertAlign w:val="subscript"/>
          <w:lang w:val="en"/>
        </w:rPr>
        <w:t>2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] using pure and prediluted free-air CO</w:t>
      </w:r>
      <w:r w:rsidR="006E56C4" w:rsidRPr="007868B6">
        <w:rPr>
          <w:rFonts w:ascii="Times New Roman" w:hAnsi="Times New Roman" w:cs="Times New Roman"/>
          <w:sz w:val="22"/>
          <w:szCs w:val="22"/>
          <w:vertAlign w:val="subscript"/>
          <w:lang w:val="en"/>
        </w:rPr>
        <w:t>2</w:t>
      </w:r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 xml:space="preserve"> enrichment technology. Global Change Biology, 15: 388–395. </w:t>
      </w:r>
      <w:proofErr w:type="spellStart"/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doi</w:t>
      </w:r>
      <w:proofErr w:type="spellEnd"/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: 10.1111/j.1365-2486.</w:t>
      </w:r>
      <w:proofErr w:type="gramStart"/>
      <w:r w:rsidR="006E56C4" w:rsidRPr="007868B6">
        <w:rPr>
          <w:rFonts w:ascii="Times New Roman" w:hAnsi="Times New Roman" w:cs="Times New Roman"/>
          <w:sz w:val="22"/>
          <w:szCs w:val="22"/>
          <w:lang w:val="en"/>
        </w:rPr>
        <w:t>2008.01748.x</w:t>
      </w:r>
      <w:proofErr w:type="gramEnd"/>
    </w:p>
    <w:p w14:paraId="17C6E6BC" w14:textId="52DA81A7" w:rsidR="00AF411C" w:rsidRPr="00B067F5" w:rsidRDefault="00D91F7C" w:rsidP="00B067F5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2"/>
          <w:szCs w:val="22"/>
          <w:lang w:val="en"/>
        </w:rPr>
      </w:pPr>
      <w:proofErr w:type="spellStart"/>
      <w:r w:rsidRPr="00B067F5">
        <w:rPr>
          <w:rFonts w:ascii="Times New Roman" w:hAnsi="Times New Roman" w:cs="Times New Roman"/>
          <w:sz w:val="22"/>
          <w:szCs w:val="22"/>
          <w:lang w:eastAsia="ja-JP"/>
        </w:rPr>
        <w:t>K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rassovski</w:t>
      </w:r>
      <w:proofErr w:type="spellEnd"/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MB, </w:t>
      </w:r>
      <w:r w:rsidR="00F412C4" w:rsidRPr="00B067F5">
        <w:rPr>
          <w:rFonts w:ascii="Times New Roman" w:hAnsi="Times New Roman" w:cs="Times New Roman"/>
          <w:sz w:val="22"/>
          <w:szCs w:val="22"/>
          <w:lang w:eastAsia="ja-JP"/>
        </w:rPr>
        <w:t>R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iggs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JS, </w:t>
      </w:r>
      <w:r w:rsidR="00F412C4" w:rsidRPr="00B067F5">
        <w:rPr>
          <w:rFonts w:ascii="Times New Roman" w:hAnsi="Times New Roman" w:cs="Times New Roman"/>
          <w:sz w:val="22"/>
          <w:szCs w:val="22"/>
          <w:lang w:eastAsia="ja-JP"/>
        </w:rPr>
        <w:t>H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ook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LA, </w:t>
      </w:r>
      <w:r w:rsidR="00F412C4" w:rsidRPr="00B067F5">
        <w:rPr>
          <w:rFonts w:ascii="Times New Roman" w:hAnsi="Times New Roman" w:cs="Times New Roman"/>
          <w:sz w:val="22"/>
          <w:szCs w:val="22"/>
          <w:lang w:eastAsia="ja-JP"/>
        </w:rPr>
        <w:t>N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ettles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WR, </w:t>
      </w:r>
      <w:r w:rsidR="00F412C4" w:rsidRPr="00B067F5">
        <w:rPr>
          <w:rFonts w:ascii="Times New Roman" w:hAnsi="Times New Roman" w:cs="Times New Roman"/>
          <w:sz w:val="22"/>
          <w:szCs w:val="22"/>
          <w:lang w:eastAsia="ja-JP"/>
        </w:rPr>
        <w:t>B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oden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TA, </w:t>
      </w:r>
      <w:r w:rsidR="00F412C4" w:rsidRPr="00B067F5">
        <w:rPr>
          <w:rFonts w:ascii="Times New Roman" w:hAnsi="Times New Roman" w:cs="Times New Roman"/>
          <w:sz w:val="22"/>
          <w:szCs w:val="22"/>
          <w:lang w:eastAsia="ja-JP"/>
        </w:rPr>
        <w:t>H</w:t>
      </w:r>
      <w:r w:rsidR="007868B6" w:rsidRPr="00B067F5">
        <w:rPr>
          <w:rFonts w:ascii="Times New Roman" w:hAnsi="Times New Roman" w:cs="Times New Roman"/>
          <w:sz w:val="22"/>
          <w:szCs w:val="22"/>
          <w:lang w:eastAsia="ja-JP"/>
        </w:rPr>
        <w:t>anson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PJ (2015) A comprehensive data acquisition and management system for an ecosystem-scale peatland warming and elevated CO2 experiment. </w:t>
      </w:r>
      <w:r w:rsidRPr="00B067F5">
        <w:rPr>
          <w:rFonts w:ascii="Times New Roman" w:hAnsi="Times New Roman" w:cs="Times New Roman"/>
          <w:i/>
          <w:iCs/>
          <w:sz w:val="22"/>
          <w:szCs w:val="22"/>
          <w:lang w:eastAsia="ja-JP"/>
        </w:rPr>
        <w:t>Geoscientific Instrumentation Methods and Data Systems</w:t>
      </w:r>
      <w:r w:rsidRPr="00B067F5">
        <w:rPr>
          <w:rFonts w:ascii="Times New Roman" w:hAnsi="Times New Roman" w:cs="Times New Roman"/>
          <w:sz w:val="22"/>
          <w:szCs w:val="22"/>
          <w:lang w:eastAsia="ja-JP"/>
        </w:rPr>
        <w:t xml:space="preserve"> 4:203–213, doi:10.5194/gi-4-203-2015 </w:t>
      </w:r>
    </w:p>
    <w:p w14:paraId="346D9BB8" w14:textId="77777777" w:rsidR="00B067F5" w:rsidRPr="00EF4881" w:rsidRDefault="00B067F5" w:rsidP="00B067F5">
      <w:pPr>
        <w:pStyle w:val="BodyTextInden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2"/>
          <w:szCs w:val="22"/>
        </w:rPr>
      </w:pPr>
      <w:r w:rsidRPr="00EF4881">
        <w:rPr>
          <w:rFonts w:ascii="Times New Roman" w:hAnsi="Times New Roman" w:cs="Times New Roman"/>
          <w:sz w:val="22"/>
          <w:szCs w:val="22"/>
          <w:lang w:val="en-GB"/>
        </w:rPr>
        <w:t xml:space="preserve">Hanson PJ, Riggs JS, Nettles WR, Phillips JR, </w:t>
      </w:r>
      <w:proofErr w:type="spellStart"/>
      <w:r w:rsidRPr="00EF4881">
        <w:rPr>
          <w:rFonts w:ascii="Times New Roman" w:hAnsi="Times New Roman" w:cs="Times New Roman"/>
          <w:sz w:val="22"/>
          <w:szCs w:val="22"/>
          <w:lang w:val="en-GB"/>
        </w:rPr>
        <w:t>Krassovski</w:t>
      </w:r>
      <w:proofErr w:type="spellEnd"/>
      <w:r w:rsidRPr="00EF4881">
        <w:rPr>
          <w:rFonts w:ascii="Times New Roman" w:hAnsi="Times New Roman" w:cs="Times New Roman"/>
          <w:sz w:val="22"/>
          <w:szCs w:val="22"/>
          <w:lang w:val="en-GB"/>
        </w:rPr>
        <w:t xml:space="preserve"> MB, Hook LA, Gu L, Richardson AD,</w:t>
      </w:r>
      <w:r w:rsidRPr="00EF4881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EF4881">
        <w:rPr>
          <w:rFonts w:ascii="Times New Roman" w:hAnsi="Times New Roman" w:cs="Times New Roman"/>
          <w:sz w:val="22"/>
          <w:szCs w:val="22"/>
        </w:rPr>
        <w:t>Aubrecht</w:t>
      </w:r>
      <w:proofErr w:type="spellEnd"/>
      <w:r w:rsidRPr="00EF4881">
        <w:rPr>
          <w:rFonts w:ascii="Times New Roman" w:hAnsi="Times New Roman" w:cs="Times New Roman"/>
          <w:sz w:val="22"/>
          <w:szCs w:val="22"/>
        </w:rPr>
        <w:t xml:space="preserve"> DM, </w:t>
      </w:r>
      <w:proofErr w:type="spellStart"/>
      <w:r w:rsidRPr="00EF4881">
        <w:rPr>
          <w:rFonts w:ascii="Times New Roman" w:hAnsi="Times New Roman" w:cs="Times New Roman"/>
          <w:sz w:val="22"/>
          <w:szCs w:val="22"/>
          <w:lang w:val="en-GB"/>
        </w:rPr>
        <w:t>Ricciuto</w:t>
      </w:r>
      <w:proofErr w:type="spellEnd"/>
      <w:r w:rsidRPr="00EF4881">
        <w:rPr>
          <w:rFonts w:ascii="Times New Roman" w:hAnsi="Times New Roman" w:cs="Times New Roman"/>
          <w:sz w:val="22"/>
          <w:szCs w:val="22"/>
          <w:lang w:val="en-GB"/>
        </w:rPr>
        <w:t xml:space="preserve"> DM, Warren JM, </w:t>
      </w:r>
      <w:proofErr w:type="spellStart"/>
      <w:r w:rsidRPr="00EF4881">
        <w:rPr>
          <w:rFonts w:ascii="Times New Roman" w:hAnsi="Times New Roman" w:cs="Times New Roman"/>
          <w:sz w:val="22"/>
          <w:szCs w:val="22"/>
          <w:lang w:val="en-GB"/>
        </w:rPr>
        <w:t>Barbier</w:t>
      </w:r>
      <w:proofErr w:type="spellEnd"/>
      <w:r w:rsidRPr="00EF4881">
        <w:rPr>
          <w:rFonts w:ascii="Times New Roman" w:hAnsi="Times New Roman" w:cs="Times New Roman"/>
          <w:sz w:val="22"/>
          <w:szCs w:val="22"/>
          <w:lang w:val="en-GB"/>
        </w:rPr>
        <w:t xml:space="preserve"> C (2017) </w:t>
      </w:r>
      <w:r w:rsidRPr="00EF4881">
        <w:rPr>
          <w:rFonts w:ascii="Times New Roman" w:hAnsi="Times New Roman" w:cs="Times New Roman"/>
          <w:sz w:val="22"/>
          <w:szCs w:val="22"/>
        </w:rPr>
        <w:t>Attaining whole-ecosystem warming using air and deep soil heating methods with an elevated CO</w:t>
      </w:r>
      <w:r w:rsidRPr="00EF4881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EF4881">
        <w:rPr>
          <w:rFonts w:ascii="Times New Roman" w:hAnsi="Times New Roman" w:cs="Times New Roman"/>
          <w:sz w:val="22"/>
          <w:szCs w:val="22"/>
        </w:rPr>
        <w:t xml:space="preserve"> atmosphere. </w:t>
      </w:r>
      <w:proofErr w:type="spellStart"/>
      <w:r w:rsidRPr="00EF4881">
        <w:rPr>
          <w:rFonts w:ascii="Times New Roman" w:hAnsi="Times New Roman" w:cs="Times New Roman"/>
          <w:i/>
          <w:sz w:val="22"/>
          <w:szCs w:val="22"/>
        </w:rPr>
        <w:t>Biogeosciences</w:t>
      </w:r>
      <w:proofErr w:type="spellEnd"/>
      <w:r w:rsidRPr="00EF4881">
        <w:rPr>
          <w:rFonts w:ascii="Times New Roman" w:hAnsi="Times New Roman" w:cs="Times New Roman"/>
          <w:sz w:val="22"/>
          <w:szCs w:val="22"/>
        </w:rPr>
        <w:t xml:space="preserve"> 14: 861–883, </w:t>
      </w:r>
      <w:proofErr w:type="spellStart"/>
      <w:r w:rsidRPr="00EF4881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EF4881">
        <w:rPr>
          <w:rFonts w:ascii="Times New Roman" w:hAnsi="Times New Roman" w:cs="Times New Roman"/>
          <w:sz w:val="22"/>
          <w:szCs w:val="22"/>
        </w:rPr>
        <w:t>: 10.5194/bg-14-861-2017</w:t>
      </w:r>
    </w:p>
    <w:p w14:paraId="55D7FB70" w14:textId="77777777" w:rsidR="00B067F5" w:rsidRPr="00EF4881" w:rsidRDefault="00B067F5" w:rsidP="00B067F5">
      <w:pPr>
        <w:pStyle w:val="BodyTextIndent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Cs/>
          <w:iCs/>
          <w:sz w:val="22"/>
          <w:szCs w:val="22"/>
        </w:rPr>
      </w:pPr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Richardson AD,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Hufkens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K, Milliman T,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Aubrecht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DM, Furze ME,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Seyednasrollah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B,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Krassovski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MB, Latimer JM, Nettles WR,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Heiderman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RR, Warren JM, Hanson PJ (2018) Ecosystem warming extends vegetation activity but heightens cold temperature vulnerability. </w:t>
      </w:r>
      <w:r w:rsidRPr="00EF4881">
        <w:rPr>
          <w:rFonts w:ascii="Times New Roman" w:hAnsi="Times New Roman" w:cs="Times New Roman"/>
          <w:bCs/>
          <w:i/>
          <w:iCs/>
          <w:sz w:val="22"/>
          <w:szCs w:val="22"/>
        </w:rPr>
        <w:t>Nature</w:t>
      </w:r>
      <w:r w:rsidRPr="00EF4881">
        <w:rPr>
          <w:rFonts w:ascii="Times New Roman" w:hAnsi="Times New Roman" w:cs="Times New Roman"/>
          <w:bCs/>
          <w:iCs/>
          <w:sz w:val="22"/>
          <w:szCs w:val="22"/>
        </w:rPr>
        <w:t xml:space="preserve"> 560:368-371, </w:t>
      </w:r>
      <w:proofErr w:type="spellStart"/>
      <w:r w:rsidRPr="00EF4881">
        <w:rPr>
          <w:rFonts w:ascii="Times New Roman" w:hAnsi="Times New Roman" w:cs="Times New Roman"/>
          <w:bCs/>
          <w:iCs/>
          <w:sz w:val="22"/>
          <w:szCs w:val="22"/>
        </w:rPr>
        <w:t>doi</w:t>
      </w:r>
      <w:proofErr w:type="spellEnd"/>
      <w:r w:rsidRPr="00EF4881">
        <w:rPr>
          <w:rFonts w:ascii="Times New Roman" w:hAnsi="Times New Roman" w:cs="Times New Roman"/>
          <w:bCs/>
          <w:iCs/>
          <w:sz w:val="22"/>
          <w:szCs w:val="22"/>
        </w:rPr>
        <w:t>: 10.1038/s41586-018-0399-1.</w:t>
      </w:r>
    </w:p>
    <w:p w14:paraId="25D3AF35" w14:textId="509BA3A5" w:rsidR="00B067F5" w:rsidRPr="008B725A" w:rsidRDefault="00B067F5" w:rsidP="00B067F5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Heiderman</w:t>
      </w:r>
      <w:proofErr w:type="spellEnd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RR, Nettles WR, </w:t>
      </w:r>
      <w:proofErr w:type="spellStart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Ontl</w:t>
      </w:r>
      <w:proofErr w:type="spellEnd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TA, Latimer JM, Richardson AD, Hanson PJ (2018) </w:t>
      </w:r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SPRUCE Manual Phenology Observations and Photographs Beginning in 2010. 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 Oak Ridge National Laboratory, TES SFA, U.S. Department of Energy, Oak Ridge, Tennessee, U.S.A.</w:t>
      </w:r>
    </w:p>
    <w:p w14:paraId="2BA95E59" w14:textId="74600C83" w:rsidR="008B725A" w:rsidRPr="008B725A" w:rsidRDefault="008B725A" w:rsidP="008B725A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Hanson, P.J., J.R. Phillips, Stan D. </w:t>
      </w:r>
      <w:proofErr w:type="spellStart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Wullschelger</w:t>
      </w:r>
      <w:proofErr w:type="spellEnd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, W. Robert Nettles, Jeffrey M. Warren, Eric J. Ward. 2018. </w:t>
      </w:r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SPRUCE Tree Growth Assessments of </w:t>
      </w:r>
      <w:proofErr w:type="spellStart"/>
      <w:r w:rsidRPr="008B725A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>Picea</w:t>
      </w:r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and</w:t>
      </w:r>
      <w:proofErr w:type="spellEnd"/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 </w:t>
      </w:r>
      <w:proofErr w:type="spellStart"/>
      <w:r w:rsidRPr="008B725A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  <w:shd w:val="clear" w:color="auto" w:fill="FFFFFF"/>
        </w:rPr>
        <w:t>Larix</w:t>
      </w:r>
      <w:proofErr w:type="spellEnd"/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 in S1-Bog Plots and SPRUCE Experimental Plots beginning in 2011. 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Oak Ridge National Laboratory, TES SFA, U.S. Department of Energy, Oak Ridge, Tennessee, U.S.A.</w:t>
      </w:r>
    </w:p>
    <w:p w14:paraId="6652EAD0" w14:textId="09D147DC" w:rsidR="008B725A" w:rsidRPr="008B725A" w:rsidRDefault="008B725A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lastRenderedPageBreak/>
        <w:t xml:space="preserve">Hanson, P.J., J.R. Phillips, J.S. Riggs, and W.R. Nettles. 2017. </w:t>
      </w:r>
      <w:r w:rsidRPr="008B725A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SPRUCE Large-Collar </w:t>
      </w:r>
      <w:proofErr w:type="gramStart"/>
      <w:r w:rsidRPr="008B725A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>In</w:t>
      </w:r>
      <w:proofErr w:type="gramEnd"/>
      <w:r w:rsidRPr="008B725A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 Situ CO2 and CH4 Flux Data for the SPRUCE Experimental Plots: Whole-Ecosystem-Warming.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Carbon Dioxide Information Analysis Center, Oak Ridge National Laboratory, U.S. Department of Energy, Oak Ridge, Tennessee, U.S.A.</w:t>
      </w:r>
    </w:p>
    <w:p w14:paraId="1B3217E1" w14:textId="77777777" w:rsidR="008B725A" w:rsidRPr="008B725A" w:rsidRDefault="008B725A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Richardson, A.D., J.M. Latimer, W.R. Nettles, R.R. </w:t>
      </w:r>
      <w:proofErr w:type="spellStart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Heiderman</w:t>
      </w:r>
      <w:proofErr w:type="spellEnd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, J.M. Warren, and P.J. Hanson. 2018. </w:t>
      </w:r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SPRUCE Ground Observations of Phenology in Experimental Plots, 2016-2017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Oak Ridge National Laboratory, TES SFA, U.S. Department of Energy, Oak Ridge, Tennessee, U.S.A. </w:t>
      </w:r>
    </w:p>
    <w:p w14:paraId="727AD9F5" w14:textId="77777777" w:rsidR="008B725A" w:rsidRPr="008B725A" w:rsidRDefault="008B725A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Hanson PJ, Riggs JS, Nettles WR, </w:t>
      </w:r>
      <w:proofErr w:type="spellStart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Krassovski</w:t>
      </w:r>
      <w:proofErr w:type="spellEnd"/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MB, Hook LA (2016) </w:t>
      </w:r>
      <w:r w:rsidRPr="008B725A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>SPRUCE Whole Ecosystems Warming (WEW) Environmental Data Beginning August 2015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Carbon Dioxide Information Analysis Center, Oak Ridge National Laboratory, U.S. Department of Energy, Oak Ridge, Tennessee, U.S.A. </w:t>
      </w:r>
    </w:p>
    <w:p w14:paraId="302F095E" w14:textId="77777777" w:rsidR="008B725A" w:rsidRPr="008B725A" w:rsidRDefault="008B725A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Hanson, P.J., J.S. Riggs, C. Dorrance, W.R. Nettles, and L.A. Hook. 2015. </w:t>
      </w:r>
      <w:r w:rsidRPr="008B725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SPRUCE Environmental Monitoring Data: 2010-2016</w:t>
      </w:r>
      <w:r w:rsidRPr="008B725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Carbon Dioxide Information Analysis Center, Oak Ridge National Laboratory, U.S. Department of Energy, Oak Ridge, Tennessee, U.S.A. </w:t>
      </w:r>
    </w:p>
    <w:p w14:paraId="3C6E9751" w14:textId="037E1DB5" w:rsidR="00003AE6" w:rsidRPr="00003AE6" w:rsidRDefault="00003AE6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Hanson, P.J., J.R. Phillips, J.S. Riggs, W.R. Nettles, and D.E. Todd. 2014. </w:t>
      </w:r>
      <w:r w:rsidRPr="00003AE6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SPRUCE Large-Collar </w:t>
      </w:r>
      <w:proofErr w:type="gramStart"/>
      <w:r w:rsidRPr="00003AE6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>In</w:t>
      </w:r>
      <w:proofErr w:type="gramEnd"/>
      <w:r w:rsidRPr="00003AE6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 Situ CO2 and CH4 Flux Data for the SPRUCE Experimental Plots.</w:t>
      </w: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Carbon Dioxide Information Analysis Center, Oak Ridge National Laboratory, U.S. Department of Energy, Oak Ridge, Tennessee, U.S.A</w:t>
      </w: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14:paraId="23ACBA23" w14:textId="4F914510" w:rsidR="00B067F5" w:rsidRPr="00003AE6" w:rsidRDefault="00003AE6" w:rsidP="00DB523F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Hanson, P.J., Riggs, J.S., Nettles, W.R., </w:t>
      </w:r>
      <w:proofErr w:type="spellStart"/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Krassovski</w:t>
      </w:r>
      <w:proofErr w:type="spellEnd"/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M.B., and Hook, L.A. 2015. </w:t>
      </w:r>
      <w:r w:rsidRPr="00003AE6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>SPRUCE Deep Peat Heating (DPH) Environmental Data, February 2014 through July 2015</w:t>
      </w: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Carbon Dioxide Information Analysis Center, Oak Ridge National Laboratory, U.S. Department of Energy, Oak Ridge, Tennessee, U.S.A</w:t>
      </w:r>
      <w:r w:rsidRPr="00003AE6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14:paraId="593FE73A" w14:textId="5E41C84F" w:rsidR="00EC39CF" w:rsidRDefault="00EC39CF" w:rsidP="006E56C4">
      <w:pPr>
        <w:pStyle w:val="Default"/>
        <w:rPr>
          <w:color w:val="auto"/>
          <w:sz w:val="22"/>
          <w:szCs w:val="22"/>
        </w:rPr>
      </w:pPr>
    </w:p>
    <w:p w14:paraId="1CAE71F1" w14:textId="6B55EBF6" w:rsidR="00B067F5" w:rsidRDefault="00B067F5" w:rsidP="006E56C4">
      <w:pPr>
        <w:pStyle w:val="Default"/>
        <w:rPr>
          <w:color w:val="auto"/>
          <w:sz w:val="22"/>
          <w:szCs w:val="22"/>
        </w:rPr>
      </w:pPr>
    </w:p>
    <w:p w14:paraId="5A4A2C29" w14:textId="13136197" w:rsidR="00B067F5" w:rsidRDefault="00B067F5" w:rsidP="006E56C4">
      <w:pPr>
        <w:pStyle w:val="Default"/>
        <w:rPr>
          <w:b/>
          <w:color w:val="auto"/>
          <w:sz w:val="22"/>
          <w:szCs w:val="22"/>
        </w:rPr>
      </w:pPr>
      <w:r w:rsidRPr="00B067F5">
        <w:rPr>
          <w:b/>
          <w:color w:val="auto"/>
          <w:sz w:val="22"/>
          <w:szCs w:val="22"/>
        </w:rPr>
        <w:t>Selected Awards and Honors</w:t>
      </w:r>
    </w:p>
    <w:p w14:paraId="69938B1C" w14:textId="7A816CF5" w:rsidR="00003AE6" w:rsidRPr="001015CD" w:rsidRDefault="001015CD" w:rsidP="00DB523F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ORNL ESD Outstanding Research Support Award</w:t>
      </w:r>
    </w:p>
    <w:p w14:paraId="56AB7F5C" w14:textId="1C855EB8" w:rsidR="001015CD" w:rsidRDefault="001015CD" w:rsidP="00DB523F">
      <w:pPr>
        <w:pStyle w:val="Default"/>
        <w:rPr>
          <w:color w:val="auto"/>
          <w:sz w:val="22"/>
          <w:szCs w:val="22"/>
        </w:rPr>
      </w:pPr>
      <w:r w:rsidRPr="001015CD">
        <w:rPr>
          <w:color w:val="auto"/>
          <w:sz w:val="22"/>
          <w:szCs w:val="22"/>
        </w:rPr>
        <w:t xml:space="preserve">ORNL Significant </w:t>
      </w:r>
      <w:r>
        <w:rPr>
          <w:color w:val="auto"/>
          <w:sz w:val="22"/>
          <w:szCs w:val="22"/>
        </w:rPr>
        <w:t>A</w:t>
      </w:r>
      <w:r w:rsidRPr="001015CD">
        <w:rPr>
          <w:color w:val="auto"/>
          <w:sz w:val="22"/>
          <w:szCs w:val="22"/>
        </w:rPr>
        <w:t>chievement Award</w:t>
      </w:r>
    </w:p>
    <w:p w14:paraId="438F790F" w14:textId="09E5A842" w:rsidR="001015CD" w:rsidRPr="001015CD" w:rsidRDefault="001015CD" w:rsidP="00DB52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BNL Spotlight Achievement Award</w:t>
      </w:r>
    </w:p>
    <w:sectPr w:rsidR="001015CD" w:rsidRPr="001015CD" w:rsidSect="00EC3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268"/>
    <w:multiLevelType w:val="hybridMultilevel"/>
    <w:tmpl w:val="724A1732"/>
    <w:lvl w:ilvl="0" w:tplc="7882A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472BB"/>
    <w:multiLevelType w:val="hybridMultilevel"/>
    <w:tmpl w:val="2F10E3F2"/>
    <w:lvl w:ilvl="0" w:tplc="18A249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47DB"/>
    <w:multiLevelType w:val="hybridMultilevel"/>
    <w:tmpl w:val="C564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BA37F5"/>
    <w:multiLevelType w:val="hybridMultilevel"/>
    <w:tmpl w:val="F396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5136BF"/>
    <w:multiLevelType w:val="hybridMultilevel"/>
    <w:tmpl w:val="C932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7F70"/>
    <w:multiLevelType w:val="hybridMultilevel"/>
    <w:tmpl w:val="8DA6C256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6" w15:restartNumberingAfterBreak="0">
    <w:nsid w:val="679D467C"/>
    <w:multiLevelType w:val="hybridMultilevel"/>
    <w:tmpl w:val="7D1E4E1E"/>
    <w:lvl w:ilvl="0" w:tplc="287C7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E4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E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5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0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A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8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4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0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61"/>
    <w:rsid w:val="00003AE6"/>
    <w:rsid w:val="001015CD"/>
    <w:rsid w:val="002910C9"/>
    <w:rsid w:val="00375C3D"/>
    <w:rsid w:val="004C0F61"/>
    <w:rsid w:val="0059462C"/>
    <w:rsid w:val="006E56C4"/>
    <w:rsid w:val="007868B6"/>
    <w:rsid w:val="00791B4E"/>
    <w:rsid w:val="0081599E"/>
    <w:rsid w:val="00845EC2"/>
    <w:rsid w:val="008B725A"/>
    <w:rsid w:val="009F043F"/>
    <w:rsid w:val="00A758CF"/>
    <w:rsid w:val="00AE0CCB"/>
    <w:rsid w:val="00AF411C"/>
    <w:rsid w:val="00B067F5"/>
    <w:rsid w:val="00C86067"/>
    <w:rsid w:val="00D71334"/>
    <w:rsid w:val="00D91F7C"/>
    <w:rsid w:val="00DB523F"/>
    <w:rsid w:val="00E571EA"/>
    <w:rsid w:val="00EC39CF"/>
    <w:rsid w:val="00F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3331F0"/>
  <w14:defaultImageDpi w14:val="300"/>
  <w15:docId w15:val="{980BC6A0-73F2-894E-A1A6-C8E6693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Courier New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F61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F61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en-US"/>
    </w:rPr>
  </w:style>
  <w:style w:type="paragraph" w:customStyle="1" w:styleId="listindent2">
    <w:name w:val="list indent 2"/>
    <w:basedOn w:val="Normal"/>
    <w:rsid w:val="004C0F61"/>
    <w:pPr>
      <w:spacing w:line="260" w:lineRule="exact"/>
      <w:ind w:left="576" w:hanging="360"/>
    </w:pPr>
    <w:rPr>
      <w:rFonts w:ascii="Times New Roman" w:eastAsia="Times New Roman" w:hAnsi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868B6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B067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067F5"/>
    <w:rPr>
      <w:rFonts w:ascii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B067F5"/>
    <w:rPr>
      <w:b/>
      <w:bCs/>
    </w:rPr>
  </w:style>
  <w:style w:type="character" w:styleId="Emphasis">
    <w:name w:val="Emphasis"/>
    <w:basedOn w:val="DefaultParagraphFont"/>
    <w:uiPriority w:val="20"/>
    <w:qFormat/>
    <w:rsid w:val="008B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8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Nettles</dc:creator>
  <cp:keywords/>
  <dc:description/>
  <cp:lastModifiedBy>SPRUCE Ops</cp:lastModifiedBy>
  <cp:revision>5</cp:revision>
  <dcterms:created xsi:type="dcterms:W3CDTF">2018-12-19T15:31:00Z</dcterms:created>
  <dcterms:modified xsi:type="dcterms:W3CDTF">2018-12-19T16:20:00Z</dcterms:modified>
</cp:coreProperties>
</file>